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C5631" w14:textId="68D0B2F3" w:rsidR="00AD23EA" w:rsidRDefault="00AD23EA" w:rsidP="003A1638">
      <w:pPr>
        <w:spacing w:after="0" w:line="240" w:lineRule="auto"/>
        <w:jc w:val="center"/>
        <w:rPr>
          <w:rFonts w:ascii="Calibri" w:hAnsi="Calibri" w:cs="Calibri"/>
          <w:b/>
          <w:bCs/>
          <w:sz w:val="23"/>
          <w:szCs w:val="23"/>
        </w:rPr>
      </w:pPr>
      <w:r>
        <w:rPr>
          <w:rFonts w:ascii="Calibri" w:hAnsi="Calibri" w:cs="Calibri"/>
          <w:b/>
          <w:bCs/>
          <w:sz w:val="23"/>
          <w:szCs w:val="23"/>
        </w:rPr>
        <w:t xml:space="preserve">The Royal Pharmaceutical Society </w:t>
      </w:r>
    </w:p>
    <w:p w14:paraId="340774C4" w14:textId="748E9FB0" w:rsidR="00B40E3C" w:rsidRPr="00304CD6" w:rsidRDefault="00AD23EA" w:rsidP="003A1638">
      <w:pPr>
        <w:spacing w:after="0" w:line="240" w:lineRule="auto"/>
        <w:jc w:val="center"/>
        <w:rPr>
          <w:rFonts w:ascii="Calibri" w:hAnsi="Calibri" w:cs="Calibri"/>
          <w:b/>
          <w:bCs/>
          <w:sz w:val="23"/>
          <w:szCs w:val="23"/>
        </w:rPr>
      </w:pPr>
      <w:r>
        <w:rPr>
          <w:rFonts w:ascii="Calibri" w:hAnsi="Calibri" w:cs="Calibri"/>
          <w:b/>
          <w:bCs/>
          <w:sz w:val="23"/>
          <w:szCs w:val="23"/>
        </w:rPr>
        <w:t xml:space="preserve">Response to </w:t>
      </w:r>
      <w:r w:rsidR="0038019D" w:rsidRPr="00304CD6">
        <w:rPr>
          <w:rFonts w:ascii="Calibri" w:hAnsi="Calibri" w:cs="Calibri"/>
          <w:b/>
          <w:bCs/>
          <w:sz w:val="23"/>
          <w:szCs w:val="23"/>
        </w:rPr>
        <w:t>House of Commons Health and Social Care Committee</w:t>
      </w:r>
    </w:p>
    <w:p w14:paraId="33A3FE5D" w14:textId="73130ABC" w:rsidR="00B40E3C" w:rsidRPr="00304CD6" w:rsidRDefault="00C56659" w:rsidP="003A1638">
      <w:pPr>
        <w:spacing w:after="0" w:line="240" w:lineRule="auto"/>
        <w:jc w:val="center"/>
        <w:rPr>
          <w:rFonts w:ascii="Calibri" w:hAnsi="Calibri" w:cs="Calibri"/>
          <w:b/>
          <w:bCs/>
          <w:sz w:val="23"/>
          <w:szCs w:val="23"/>
        </w:rPr>
      </w:pPr>
      <w:r w:rsidRPr="00304CD6">
        <w:rPr>
          <w:rFonts w:ascii="Calibri" w:hAnsi="Calibri" w:cs="Calibri"/>
          <w:b/>
          <w:bCs/>
          <w:sz w:val="23"/>
          <w:szCs w:val="23"/>
        </w:rPr>
        <w:t>Food and Weight Management Inquiry</w:t>
      </w:r>
    </w:p>
    <w:p w14:paraId="1D174E82" w14:textId="77777777" w:rsidR="00B40E3C" w:rsidRPr="00304CD6" w:rsidRDefault="00B40E3C" w:rsidP="003A1638">
      <w:pPr>
        <w:spacing w:after="0" w:line="240" w:lineRule="auto"/>
        <w:jc w:val="both"/>
        <w:rPr>
          <w:rFonts w:ascii="Calibri" w:hAnsi="Calibri" w:cs="Calibri"/>
          <w:sz w:val="23"/>
          <w:szCs w:val="23"/>
        </w:rPr>
      </w:pPr>
    </w:p>
    <w:p w14:paraId="47834803" w14:textId="6B490DF9" w:rsidR="00B40E3C" w:rsidRPr="00304CD6" w:rsidRDefault="0038019D" w:rsidP="00CF2A81">
      <w:pPr>
        <w:pStyle w:val="ListParagraph"/>
        <w:numPr>
          <w:ilvl w:val="0"/>
          <w:numId w:val="7"/>
        </w:numPr>
        <w:spacing w:after="0" w:line="240" w:lineRule="auto"/>
        <w:jc w:val="both"/>
        <w:rPr>
          <w:rFonts w:ascii="Calibri" w:hAnsi="Calibri" w:cs="Calibri"/>
          <w:sz w:val="23"/>
          <w:szCs w:val="23"/>
        </w:rPr>
      </w:pPr>
      <w:r w:rsidRPr="00304CD6">
        <w:rPr>
          <w:rFonts w:ascii="Calibri" w:hAnsi="Calibri" w:cs="Calibri"/>
          <w:sz w:val="23"/>
          <w:szCs w:val="23"/>
        </w:rPr>
        <w:t xml:space="preserve">The Royal Pharmaceutical Society is the professional body for pharmacists </w:t>
      </w:r>
      <w:r w:rsidR="00CF2A81" w:rsidRPr="00304CD6">
        <w:rPr>
          <w:rFonts w:ascii="Calibri" w:hAnsi="Calibri" w:cs="Calibri"/>
          <w:sz w:val="23"/>
          <w:szCs w:val="23"/>
        </w:rPr>
        <w:t>and pharmaceutical scientists.</w:t>
      </w:r>
      <w:r w:rsidRPr="00304CD6">
        <w:rPr>
          <w:rFonts w:ascii="Calibri" w:hAnsi="Calibri" w:cs="Calibri"/>
          <w:sz w:val="23"/>
          <w:szCs w:val="23"/>
        </w:rPr>
        <w:t xml:space="preserve"> </w:t>
      </w:r>
      <w:r w:rsidR="00CF2A81" w:rsidRPr="00304CD6">
        <w:rPr>
          <w:rFonts w:ascii="Calibri" w:hAnsi="Calibri" w:cs="Calibri"/>
          <w:sz w:val="23"/>
          <w:szCs w:val="23"/>
        </w:rPr>
        <w:t>Our members work across</w:t>
      </w:r>
      <w:r w:rsidRPr="00304CD6">
        <w:rPr>
          <w:rFonts w:ascii="Calibri" w:hAnsi="Calibri" w:cs="Calibri"/>
          <w:sz w:val="23"/>
          <w:szCs w:val="23"/>
        </w:rPr>
        <w:t xml:space="preserve"> </w:t>
      </w:r>
      <w:r w:rsidR="00CF2A81" w:rsidRPr="00304CD6">
        <w:rPr>
          <w:rFonts w:ascii="Calibri" w:hAnsi="Calibri" w:cs="Calibri"/>
          <w:sz w:val="23"/>
          <w:szCs w:val="23"/>
        </w:rPr>
        <w:t>primary and secondary care in the NHS, as well as in industry and education</w:t>
      </w:r>
      <w:r w:rsidRPr="00304CD6">
        <w:rPr>
          <w:rFonts w:ascii="Calibri" w:hAnsi="Calibri" w:cs="Calibri"/>
          <w:sz w:val="23"/>
          <w:szCs w:val="23"/>
        </w:rPr>
        <w:t xml:space="preserve">. Pharmacy is the third largest health profession after medicine and nursing, with more than </w:t>
      </w:r>
      <w:r w:rsidR="00B40E3C" w:rsidRPr="00304CD6">
        <w:rPr>
          <w:rFonts w:ascii="Calibri" w:hAnsi="Calibri" w:cs="Calibri"/>
          <w:sz w:val="23"/>
          <w:szCs w:val="23"/>
        </w:rPr>
        <w:t>65</w:t>
      </w:r>
      <w:r w:rsidRPr="00304CD6">
        <w:rPr>
          <w:rFonts w:ascii="Calibri" w:hAnsi="Calibri" w:cs="Calibri"/>
          <w:sz w:val="23"/>
          <w:szCs w:val="23"/>
        </w:rPr>
        <w:t>,000 pharmacists and 2</w:t>
      </w:r>
      <w:r w:rsidR="00B40E3C" w:rsidRPr="00304CD6">
        <w:rPr>
          <w:rFonts w:ascii="Calibri" w:hAnsi="Calibri" w:cs="Calibri"/>
          <w:sz w:val="23"/>
          <w:szCs w:val="23"/>
        </w:rPr>
        <w:t>7</w:t>
      </w:r>
      <w:r w:rsidRPr="00304CD6">
        <w:rPr>
          <w:rFonts w:ascii="Calibri" w:hAnsi="Calibri" w:cs="Calibri"/>
          <w:sz w:val="23"/>
          <w:szCs w:val="23"/>
        </w:rPr>
        <w:t>,000 pharmacy technicians on the General Pharmaceutical Council register.</w:t>
      </w:r>
      <w:r w:rsidRPr="00304CD6">
        <w:rPr>
          <w:rFonts w:ascii="Calibri" w:hAnsi="Calibri" w:cs="Calibri"/>
          <w:sz w:val="23"/>
          <w:szCs w:val="23"/>
          <w:vertAlign w:val="superscript"/>
        </w:rPr>
        <w:footnoteReference w:id="1"/>
      </w:r>
      <w:r w:rsidRPr="00304CD6">
        <w:rPr>
          <w:rFonts w:ascii="Calibri" w:hAnsi="Calibri" w:cs="Calibri"/>
          <w:sz w:val="23"/>
          <w:szCs w:val="23"/>
        </w:rPr>
        <w:t xml:space="preserve"> </w:t>
      </w:r>
    </w:p>
    <w:p w14:paraId="14D78CFE" w14:textId="77777777" w:rsidR="00B02420" w:rsidRPr="00304CD6" w:rsidRDefault="00B02420" w:rsidP="00B02420">
      <w:pPr>
        <w:spacing w:after="0" w:line="240" w:lineRule="auto"/>
        <w:jc w:val="both"/>
        <w:rPr>
          <w:rFonts w:ascii="Calibri" w:hAnsi="Calibri" w:cs="Calibri"/>
          <w:b/>
          <w:bCs/>
          <w:sz w:val="23"/>
          <w:szCs w:val="23"/>
        </w:rPr>
      </w:pPr>
    </w:p>
    <w:p w14:paraId="2C4897CF" w14:textId="77777777" w:rsidR="00B02420" w:rsidRPr="00304CD6" w:rsidRDefault="00B02420" w:rsidP="00B02420">
      <w:pPr>
        <w:spacing w:after="0" w:line="240" w:lineRule="auto"/>
        <w:jc w:val="both"/>
        <w:rPr>
          <w:rFonts w:ascii="Calibri" w:hAnsi="Calibri" w:cs="Calibri"/>
          <w:b/>
          <w:bCs/>
          <w:sz w:val="23"/>
          <w:szCs w:val="23"/>
        </w:rPr>
      </w:pPr>
      <w:r w:rsidRPr="00304CD6">
        <w:rPr>
          <w:rFonts w:ascii="Calibri" w:hAnsi="Calibri" w:cs="Calibri"/>
          <w:b/>
          <w:bCs/>
          <w:sz w:val="23"/>
          <w:szCs w:val="23"/>
        </w:rPr>
        <w:t xml:space="preserve">Pharmacy’s role in supporting weight management services </w:t>
      </w:r>
    </w:p>
    <w:p w14:paraId="0C873CFB" w14:textId="77777777" w:rsidR="00B02420" w:rsidRPr="00304CD6" w:rsidRDefault="00B02420" w:rsidP="00B02420">
      <w:pPr>
        <w:spacing w:after="0" w:line="240" w:lineRule="auto"/>
        <w:jc w:val="both"/>
        <w:rPr>
          <w:rFonts w:ascii="Calibri" w:hAnsi="Calibri" w:cs="Calibri"/>
          <w:sz w:val="23"/>
          <w:szCs w:val="23"/>
        </w:rPr>
      </w:pPr>
    </w:p>
    <w:p w14:paraId="66AD46B8" w14:textId="2F3640BA" w:rsidR="00B02420" w:rsidRPr="00304CD6" w:rsidRDefault="00304CD6" w:rsidP="005D699B">
      <w:pPr>
        <w:pStyle w:val="ListParagraph"/>
        <w:numPr>
          <w:ilvl w:val="0"/>
          <w:numId w:val="7"/>
        </w:numPr>
        <w:spacing w:after="0" w:line="240" w:lineRule="auto"/>
        <w:jc w:val="both"/>
        <w:rPr>
          <w:rFonts w:ascii="Calibri" w:hAnsi="Calibri" w:cs="Calibri"/>
          <w:sz w:val="23"/>
          <w:szCs w:val="23"/>
        </w:rPr>
      </w:pPr>
      <w:r w:rsidRPr="00304CD6">
        <w:rPr>
          <w:rFonts w:ascii="Calibri" w:hAnsi="Calibri" w:cs="Calibri"/>
          <w:sz w:val="23"/>
          <w:szCs w:val="23"/>
        </w:rPr>
        <w:t>With the right support, p</w:t>
      </w:r>
      <w:r w:rsidR="00160005" w:rsidRPr="00304CD6">
        <w:rPr>
          <w:rFonts w:ascii="Calibri" w:hAnsi="Calibri" w:cs="Calibri"/>
          <w:sz w:val="23"/>
          <w:szCs w:val="23"/>
        </w:rPr>
        <w:t>harmacists can play a transformative role in improving population health, supporting prevention and enabling better care across the NHS.</w:t>
      </w:r>
      <w:r w:rsidRPr="00304CD6">
        <w:rPr>
          <w:rFonts w:ascii="Calibri" w:hAnsi="Calibri" w:cs="Calibri"/>
          <w:sz w:val="23"/>
          <w:szCs w:val="23"/>
        </w:rPr>
        <w:t xml:space="preserve"> </w:t>
      </w:r>
      <w:r w:rsidR="00B02420" w:rsidRPr="00304CD6">
        <w:rPr>
          <w:rFonts w:ascii="Calibri" w:hAnsi="Calibri" w:cs="Calibri"/>
          <w:sz w:val="23"/>
          <w:szCs w:val="23"/>
        </w:rPr>
        <w:t xml:space="preserve">As the most accessible health setting, often in more deprived areas, community pharmacy teams will engage with a significant number of patients every day who could benefit from personalised advice on diet, exercise, and lifestyle changes to help manage their weight. Private consultation rooms available within community pharmacies offer a more discrete setting for advice and support. Meanwhile, the regular contact with their patients also enables pharmacists to monitor patients’ progress, discuss any problems or setbacks and to provide continuous encouragement from a trusted healthcare professional. </w:t>
      </w:r>
    </w:p>
    <w:p w14:paraId="0E5F0194" w14:textId="77777777" w:rsidR="00546F6C" w:rsidRPr="00304CD6" w:rsidRDefault="00546F6C" w:rsidP="00546F6C">
      <w:pPr>
        <w:spacing w:after="0" w:line="240" w:lineRule="auto"/>
        <w:jc w:val="both"/>
        <w:rPr>
          <w:rFonts w:ascii="Calibri" w:hAnsi="Calibri" w:cs="Calibri"/>
          <w:sz w:val="23"/>
          <w:szCs w:val="23"/>
        </w:rPr>
      </w:pPr>
    </w:p>
    <w:p w14:paraId="207EE9D2" w14:textId="77777777" w:rsidR="00B02420" w:rsidRPr="00304CD6" w:rsidRDefault="00B02420" w:rsidP="00B02420">
      <w:pPr>
        <w:pStyle w:val="ListParagraph"/>
        <w:numPr>
          <w:ilvl w:val="0"/>
          <w:numId w:val="7"/>
        </w:numPr>
        <w:spacing w:after="0" w:line="240" w:lineRule="auto"/>
        <w:jc w:val="both"/>
        <w:rPr>
          <w:rFonts w:ascii="Calibri" w:hAnsi="Calibri" w:cs="Calibri"/>
          <w:sz w:val="23"/>
          <w:szCs w:val="23"/>
        </w:rPr>
      </w:pPr>
      <w:r w:rsidRPr="00304CD6">
        <w:rPr>
          <w:rFonts w:ascii="Calibri" w:hAnsi="Calibri" w:cs="Calibri"/>
          <w:sz w:val="23"/>
          <w:szCs w:val="23"/>
        </w:rPr>
        <w:t xml:space="preserve">For people with low health literacy and do not routinely engage with the health service, community pharmacists might be the only healthcare professional who sees them on a regular basis. Such individuals will often be located in our most disadvantaged communities where obesity rates are higher. </w:t>
      </w:r>
    </w:p>
    <w:p w14:paraId="4DC3DDF5" w14:textId="77777777" w:rsidR="00B206C1" w:rsidRPr="00304CD6" w:rsidRDefault="00B206C1" w:rsidP="00B206C1">
      <w:pPr>
        <w:spacing w:after="0" w:line="240" w:lineRule="auto"/>
        <w:jc w:val="both"/>
        <w:rPr>
          <w:rFonts w:ascii="Calibri" w:hAnsi="Calibri" w:cs="Calibri"/>
          <w:b/>
          <w:bCs/>
          <w:sz w:val="23"/>
          <w:szCs w:val="23"/>
        </w:rPr>
      </w:pPr>
    </w:p>
    <w:p w14:paraId="6E26D51F" w14:textId="77777777" w:rsidR="00B206C1" w:rsidRPr="00304CD6" w:rsidRDefault="00B206C1" w:rsidP="00B206C1">
      <w:pPr>
        <w:pStyle w:val="ListParagraph"/>
        <w:numPr>
          <w:ilvl w:val="0"/>
          <w:numId w:val="7"/>
        </w:numPr>
        <w:spacing w:after="0" w:line="240" w:lineRule="auto"/>
        <w:jc w:val="both"/>
        <w:rPr>
          <w:rFonts w:ascii="Calibri" w:hAnsi="Calibri" w:cs="Calibri"/>
          <w:sz w:val="23"/>
          <w:szCs w:val="23"/>
        </w:rPr>
      </w:pPr>
      <w:r w:rsidRPr="00304CD6">
        <w:rPr>
          <w:rFonts w:ascii="Calibri" w:hAnsi="Calibri" w:cs="Calibri"/>
          <w:sz w:val="23"/>
          <w:szCs w:val="23"/>
        </w:rPr>
        <w:t>The skills and accessibility of pharmacist, particularly in the community, can be utilised further as part of the prevention agenda. Community pharmacies are community health assets, physically located in the heart of local populations. The more than 10,000 community pharmacies in England</w:t>
      </w:r>
      <w:r w:rsidRPr="00304CD6">
        <w:rPr>
          <w:rStyle w:val="FootnoteReference"/>
          <w:rFonts w:ascii="Calibri" w:hAnsi="Calibri" w:cs="Calibri"/>
          <w:sz w:val="23"/>
          <w:szCs w:val="23"/>
        </w:rPr>
        <w:footnoteReference w:id="2"/>
      </w:r>
      <w:r w:rsidRPr="00304CD6">
        <w:rPr>
          <w:rFonts w:ascii="Calibri" w:hAnsi="Calibri" w:cs="Calibri"/>
          <w:sz w:val="23"/>
          <w:szCs w:val="23"/>
        </w:rPr>
        <w:t xml:space="preserve"> are in a unique position to form part of local community neighbourhood teams that deliver prevention and health improvement services. </w:t>
      </w:r>
    </w:p>
    <w:p w14:paraId="3FDCE31F" w14:textId="77777777" w:rsidR="00B02420" w:rsidRPr="00304CD6" w:rsidRDefault="00B02420" w:rsidP="00B02420">
      <w:pPr>
        <w:spacing w:after="0" w:line="240" w:lineRule="auto"/>
        <w:jc w:val="both"/>
        <w:rPr>
          <w:rFonts w:ascii="Calibri" w:hAnsi="Calibri" w:cs="Calibri"/>
          <w:sz w:val="23"/>
          <w:szCs w:val="23"/>
        </w:rPr>
      </w:pPr>
    </w:p>
    <w:p w14:paraId="18020131" w14:textId="544CB4AE" w:rsidR="00B02420" w:rsidRPr="00304CD6" w:rsidRDefault="00B02420" w:rsidP="00B02420">
      <w:pPr>
        <w:pStyle w:val="ListParagraph"/>
        <w:numPr>
          <w:ilvl w:val="0"/>
          <w:numId w:val="7"/>
        </w:numPr>
        <w:spacing w:after="0" w:line="240" w:lineRule="auto"/>
        <w:jc w:val="both"/>
        <w:rPr>
          <w:rFonts w:ascii="Calibri" w:hAnsi="Calibri" w:cs="Calibri"/>
          <w:sz w:val="23"/>
          <w:szCs w:val="23"/>
        </w:rPr>
      </w:pPr>
      <w:r w:rsidRPr="00304CD6">
        <w:rPr>
          <w:rFonts w:ascii="Calibri" w:hAnsi="Calibri" w:cs="Calibri"/>
          <w:sz w:val="23"/>
          <w:szCs w:val="23"/>
        </w:rPr>
        <w:t>Community pharmacy’s high patient contact rates mean they are well placed to refer patients to weight</w:t>
      </w:r>
      <w:r w:rsidR="00304CD6" w:rsidRPr="00304CD6">
        <w:rPr>
          <w:rFonts w:ascii="Calibri" w:hAnsi="Calibri" w:cs="Calibri"/>
          <w:sz w:val="23"/>
          <w:szCs w:val="23"/>
        </w:rPr>
        <w:t xml:space="preserve"> </w:t>
      </w:r>
      <w:r w:rsidRPr="00304CD6">
        <w:rPr>
          <w:rFonts w:ascii="Calibri" w:hAnsi="Calibri" w:cs="Calibri"/>
          <w:sz w:val="23"/>
          <w:szCs w:val="23"/>
        </w:rPr>
        <w:t>loss programs and social prescribing initiatives. We welcomed the initiative in England where community pharmacy teams can refer adults living with obesity, and other conditions, to a twelve-week NHS weight management programme.</w:t>
      </w:r>
      <w:r w:rsidRPr="00304CD6">
        <w:rPr>
          <w:rStyle w:val="FootnoteReference"/>
          <w:rFonts w:ascii="Calibri" w:hAnsi="Calibri" w:cs="Calibri"/>
          <w:sz w:val="23"/>
          <w:szCs w:val="23"/>
        </w:rPr>
        <w:footnoteReference w:id="3"/>
      </w:r>
      <w:r w:rsidRPr="00304CD6">
        <w:rPr>
          <w:rFonts w:ascii="Calibri" w:hAnsi="Calibri" w:cs="Calibri"/>
          <w:sz w:val="23"/>
          <w:szCs w:val="23"/>
        </w:rPr>
        <w:t xml:space="preserve"> This needs to be more widely promoted and publicised.</w:t>
      </w:r>
    </w:p>
    <w:p w14:paraId="79F088E1" w14:textId="77777777" w:rsidR="00546F6C" w:rsidRPr="00304CD6" w:rsidRDefault="00546F6C" w:rsidP="00546F6C">
      <w:pPr>
        <w:spacing w:after="0" w:line="240" w:lineRule="auto"/>
        <w:jc w:val="both"/>
        <w:rPr>
          <w:rFonts w:ascii="Calibri" w:hAnsi="Calibri" w:cs="Calibri"/>
          <w:sz w:val="23"/>
          <w:szCs w:val="23"/>
        </w:rPr>
      </w:pPr>
    </w:p>
    <w:p w14:paraId="1BC01A06" w14:textId="5E303DDD" w:rsidR="00546F6C" w:rsidRPr="00304CD6" w:rsidRDefault="00546F6C" w:rsidP="00546F6C">
      <w:pPr>
        <w:pStyle w:val="ListParagraph"/>
        <w:numPr>
          <w:ilvl w:val="0"/>
          <w:numId w:val="7"/>
        </w:numPr>
        <w:spacing w:after="0" w:line="240" w:lineRule="auto"/>
        <w:jc w:val="both"/>
        <w:rPr>
          <w:rFonts w:ascii="Calibri" w:hAnsi="Calibri" w:cs="Calibri"/>
          <w:sz w:val="23"/>
          <w:szCs w:val="23"/>
        </w:rPr>
      </w:pPr>
      <w:r w:rsidRPr="00304CD6">
        <w:rPr>
          <w:rFonts w:ascii="Calibri" w:hAnsi="Calibri" w:cs="Calibri"/>
          <w:sz w:val="23"/>
          <w:szCs w:val="23"/>
        </w:rPr>
        <w:t>To make full use of community pharmacist and their teams, community pharmacists and their teams should be an integral part of national and local weight</w:t>
      </w:r>
      <w:r w:rsidR="00304CD6" w:rsidRPr="00304CD6">
        <w:rPr>
          <w:rFonts w:ascii="Calibri" w:hAnsi="Calibri" w:cs="Calibri"/>
          <w:sz w:val="23"/>
          <w:szCs w:val="23"/>
        </w:rPr>
        <w:t xml:space="preserve"> </w:t>
      </w:r>
      <w:r w:rsidRPr="00304CD6">
        <w:rPr>
          <w:rFonts w:ascii="Calibri" w:hAnsi="Calibri" w:cs="Calibri"/>
          <w:sz w:val="23"/>
          <w:szCs w:val="23"/>
        </w:rPr>
        <w:t>loss plans and strategies. They have the potential to be crucial assets in:</w:t>
      </w:r>
    </w:p>
    <w:p w14:paraId="33B31C71" w14:textId="77777777" w:rsidR="00546F6C" w:rsidRPr="00304CD6" w:rsidRDefault="00546F6C" w:rsidP="00546F6C">
      <w:pPr>
        <w:pStyle w:val="ListParagraph"/>
        <w:numPr>
          <w:ilvl w:val="1"/>
          <w:numId w:val="8"/>
        </w:numPr>
        <w:spacing w:after="0" w:line="240" w:lineRule="auto"/>
        <w:jc w:val="both"/>
        <w:rPr>
          <w:rFonts w:ascii="Calibri" w:hAnsi="Calibri" w:cs="Calibri"/>
          <w:sz w:val="23"/>
          <w:szCs w:val="23"/>
        </w:rPr>
      </w:pPr>
      <w:r w:rsidRPr="00304CD6">
        <w:rPr>
          <w:rFonts w:ascii="Calibri" w:hAnsi="Calibri" w:cs="Calibri"/>
          <w:sz w:val="23"/>
          <w:szCs w:val="23"/>
        </w:rPr>
        <w:t>providing regular advice to patients.</w:t>
      </w:r>
    </w:p>
    <w:p w14:paraId="7956E0BB" w14:textId="77777777" w:rsidR="00546F6C" w:rsidRPr="00304CD6" w:rsidRDefault="00546F6C" w:rsidP="00546F6C">
      <w:pPr>
        <w:pStyle w:val="ListParagraph"/>
        <w:numPr>
          <w:ilvl w:val="1"/>
          <w:numId w:val="8"/>
        </w:numPr>
        <w:spacing w:after="0" w:line="240" w:lineRule="auto"/>
        <w:jc w:val="both"/>
        <w:rPr>
          <w:rFonts w:ascii="Calibri" w:hAnsi="Calibri" w:cs="Calibri"/>
          <w:sz w:val="23"/>
          <w:szCs w:val="23"/>
        </w:rPr>
      </w:pPr>
      <w:r w:rsidRPr="00304CD6">
        <w:rPr>
          <w:rFonts w:ascii="Calibri" w:hAnsi="Calibri" w:cs="Calibri"/>
          <w:sz w:val="23"/>
          <w:szCs w:val="23"/>
        </w:rPr>
        <w:t>reducing inequalities in obesity rates.</w:t>
      </w:r>
    </w:p>
    <w:p w14:paraId="14F8634B" w14:textId="77777777" w:rsidR="00546F6C" w:rsidRPr="00304CD6" w:rsidRDefault="00546F6C" w:rsidP="00546F6C">
      <w:pPr>
        <w:pStyle w:val="ListParagraph"/>
        <w:numPr>
          <w:ilvl w:val="1"/>
          <w:numId w:val="8"/>
        </w:numPr>
        <w:spacing w:after="0" w:line="240" w:lineRule="auto"/>
        <w:jc w:val="both"/>
        <w:rPr>
          <w:rFonts w:ascii="Calibri" w:hAnsi="Calibri" w:cs="Calibri"/>
          <w:sz w:val="23"/>
          <w:szCs w:val="23"/>
        </w:rPr>
      </w:pPr>
      <w:r w:rsidRPr="00304CD6">
        <w:rPr>
          <w:rFonts w:ascii="Calibri" w:hAnsi="Calibri" w:cs="Calibri"/>
          <w:sz w:val="23"/>
          <w:szCs w:val="23"/>
        </w:rPr>
        <w:t>referring or providing weight management support programmes to appropriate patients.</w:t>
      </w:r>
    </w:p>
    <w:p w14:paraId="1805E361" w14:textId="77777777" w:rsidR="00546F6C" w:rsidRPr="00304CD6" w:rsidRDefault="00546F6C" w:rsidP="00546F6C">
      <w:pPr>
        <w:spacing w:after="0" w:line="240" w:lineRule="auto"/>
        <w:jc w:val="both"/>
        <w:rPr>
          <w:rFonts w:ascii="Calibri" w:hAnsi="Calibri" w:cs="Calibri"/>
          <w:sz w:val="23"/>
          <w:szCs w:val="23"/>
        </w:rPr>
      </w:pPr>
    </w:p>
    <w:p w14:paraId="34F0BD61" w14:textId="0D7C0EF5" w:rsidR="00546F6C" w:rsidRPr="00304CD6" w:rsidRDefault="003F53AB" w:rsidP="00B35876">
      <w:pPr>
        <w:pStyle w:val="ListParagraph"/>
        <w:numPr>
          <w:ilvl w:val="0"/>
          <w:numId w:val="7"/>
        </w:numPr>
        <w:spacing w:after="0" w:line="240" w:lineRule="auto"/>
        <w:jc w:val="both"/>
        <w:rPr>
          <w:rFonts w:ascii="Calibri" w:hAnsi="Calibri" w:cs="Calibri"/>
          <w:sz w:val="23"/>
          <w:szCs w:val="23"/>
        </w:rPr>
      </w:pPr>
      <w:r w:rsidRPr="00304CD6">
        <w:rPr>
          <w:rFonts w:ascii="Calibri" w:hAnsi="Calibri" w:cs="Calibri"/>
          <w:sz w:val="23"/>
          <w:szCs w:val="23"/>
        </w:rPr>
        <w:t>The</w:t>
      </w:r>
      <w:r w:rsidR="00546F6C" w:rsidRPr="00304CD6">
        <w:rPr>
          <w:rFonts w:ascii="Calibri" w:hAnsi="Calibri" w:cs="Calibri"/>
          <w:sz w:val="23"/>
          <w:szCs w:val="23"/>
        </w:rPr>
        <w:t xml:space="preserve"> clinical and prescribing role of pharmacists is developing</w:t>
      </w:r>
      <w:r w:rsidR="007B34BE" w:rsidRPr="00304CD6">
        <w:rPr>
          <w:rFonts w:ascii="Calibri" w:hAnsi="Calibri" w:cs="Calibri"/>
          <w:sz w:val="23"/>
          <w:szCs w:val="23"/>
        </w:rPr>
        <w:t>. I</w:t>
      </w:r>
      <w:r w:rsidR="00546F6C" w:rsidRPr="00304CD6">
        <w:rPr>
          <w:rFonts w:ascii="Calibri" w:hAnsi="Calibri" w:cs="Calibri"/>
          <w:sz w:val="23"/>
          <w:szCs w:val="23"/>
        </w:rPr>
        <w:t>ncreased support, resourcing, and access to protected time for training for pharmacists will be important enablers for their role in prevention of obesity and ill-health.</w:t>
      </w:r>
    </w:p>
    <w:p w14:paraId="1FF481FB" w14:textId="77777777" w:rsidR="00B02420" w:rsidRPr="00304CD6" w:rsidRDefault="00B02420" w:rsidP="00B02420">
      <w:pPr>
        <w:spacing w:after="0" w:line="240" w:lineRule="auto"/>
        <w:jc w:val="both"/>
        <w:rPr>
          <w:rFonts w:ascii="Calibri" w:hAnsi="Calibri" w:cs="Calibri"/>
          <w:sz w:val="23"/>
          <w:szCs w:val="23"/>
        </w:rPr>
      </w:pPr>
    </w:p>
    <w:p w14:paraId="47DAC374" w14:textId="67748974" w:rsidR="00460081" w:rsidRPr="00304CD6" w:rsidRDefault="00460081" w:rsidP="00B02420">
      <w:pPr>
        <w:spacing w:after="0" w:line="240" w:lineRule="auto"/>
        <w:jc w:val="both"/>
        <w:rPr>
          <w:rFonts w:ascii="Calibri" w:hAnsi="Calibri" w:cs="Calibri"/>
          <w:b/>
          <w:bCs/>
          <w:sz w:val="23"/>
          <w:szCs w:val="23"/>
        </w:rPr>
      </w:pPr>
      <w:r w:rsidRPr="00304CD6">
        <w:rPr>
          <w:rFonts w:ascii="Calibri" w:hAnsi="Calibri" w:cs="Calibri"/>
          <w:b/>
          <w:bCs/>
          <w:sz w:val="23"/>
          <w:szCs w:val="23"/>
        </w:rPr>
        <w:t>Access to pharmacist expertise on the safe and effective use of medicines</w:t>
      </w:r>
    </w:p>
    <w:p w14:paraId="42B2A83B" w14:textId="77777777" w:rsidR="00B02420" w:rsidRPr="00304CD6" w:rsidRDefault="00B02420" w:rsidP="00B02420">
      <w:pPr>
        <w:spacing w:after="0" w:line="240" w:lineRule="auto"/>
        <w:jc w:val="both"/>
        <w:rPr>
          <w:rFonts w:ascii="Calibri" w:hAnsi="Calibri" w:cs="Calibri"/>
          <w:sz w:val="23"/>
          <w:szCs w:val="23"/>
        </w:rPr>
      </w:pPr>
    </w:p>
    <w:p w14:paraId="5AECBFF1" w14:textId="77777777" w:rsidR="00B02420" w:rsidRPr="00304CD6" w:rsidRDefault="00B02420" w:rsidP="00B02420">
      <w:pPr>
        <w:pStyle w:val="ListParagraph"/>
        <w:numPr>
          <w:ilvl w:val="0"/>
          <w:numId w:val="7"/>
        </w:numPr>
        <w:spacing w:after="0" w:line="240" w:lineRule="auto"/>
        <w:jc w:val="both"/>
        <w:rPr>
          <w:rFonts w:ascii="Calibri" w:hAnsi="Calibri" w:cs="Calibri"/>
          <w:sz w:val="23"/>
          <w:szCs w:val="23"/>
        </w:rPr>
      </w:pPr>
      <w:r w:rsidRPr="00304CD6">
        <w:rPr>
          <w:rFonts w:ascii="Calibri" w:hAnsi="Calibri" w:cs="Calibri"/>
          <w:sz w:val="23"/>
          <w:szCs w:val="23"/>
        </w:rPr>
        <w:t>People living with obesity are at risk of developing multiple health conditions, including, type 2 diabetes, high blood pressure and high cholesterol, all of which are likely to be managed with medication. The more medicines an individual is prescribed (often by multiple prescribers with condition-specific expertise), the greater the risk of:</w:t>
      </w:r>
    </w:p>
    <w:p w14:paraId="478C5897" w14:textId="77777777" w:rsidR="00B02420" w:rsidRPr="00304CD6" w:rsidRDefault="00B02420" w:rsidP="00B02420">
      <w:pPr>
        <w:pStyle w:val="ListParagraph"/>
        <w:numPr>
          <w:ilvl w:val="1"/>
          <w:numId w:val="8"/>
        </w:numPr>
        <w:spacing w:after="0" w:line="240" w:lineRule="auto"/>
        <w:jc w:val="both"/>
        <w:rPr>
          <w:rFonts w:ascii="Calibri" w:hAnsi="Calibri" w:cs="Calibri"/>
          <w:sz w:val="23"/>
          <w:szCs w:val="23"/>
        </w:rPr>
      </w:pPr>
      <w:r w:rsidRPr="00304CD6">
        <w:rPr>
          <w:rFonts w:ascii="Calibri" w:hAnsi="Calibri" w:cs="Calibri"/>
          <w:sz w:val="23"/>
          <w:szCs w:val="23"/>
        </w:rPr>
        <w:t xml:space="preserve">unforeseen drug interactions. </w:t>
      </w:r>
    </w:p>
    <w:p w14:paraId="6E2F831A" w14:textId="77777777" w:rsidR="00B02420" w:rsidRPr="00304CD6" w:rsidRDefault="00B02420" w:rsidP="00B02420">
      <w:pPr>
        <w:pStyle w:val="ListParagraph"/>
        <w:numPr>
          <w:ilvl w:val="1"/>
          <w:numId w:val="8"/>
        </w:numPr>
        <w:spacing w:after="0" w:line="240" w:lineRule="auto"/>
        <w:jc w:val="both"/>
        <w:rPr>
          <w:rFonts w:ascii="Calibri" w:hAnsi="Calibri" w:cs="Calibri"/>
          <w:sz w:val="23"/>
          <w:szCs w:val="23"/>
        </w:rPr>
      </w:pPr>
      <w:r w:rsidRPr="00304CD6">
        <w:rPr>
          <w:rFonts w:ascii="Calibri" w:hAnsi="Calibri" w:cs="Calibri"/>
          <w:sz w:val="23"/>
          <w:szCs w:val="23"/>
        </w:rPr>
        <w:t>adverse drug reactions.</w:t>
      </w:r>
    </w:p>
    <w:p w14:paraId="2FC56C04" w14:textId="77777777" w:rsidR="00B02420" w:rsidRPr="00304CD6" w:rsidRDefault="00B02420" w:rsidP="00B02420">
      <w:pPr>
        <w:pStyle w:val="ListParagraph"/>
        <w:numPr>
          <w:ilvl w:val="1"/>
          <w:numId w:val="8"/>
        </w:numPr>
        <w:spacing w:after="0" w:line="240" w:lineRule="auto"/>
        <w:jc w:val="both"/>
        <w:rPr>
          <w:rFonts w:ascii="Calibri" w:hAnsi="Calibri" w:cs="Calibri"/>
          <w:sz w:val="23"/>
          <w:szCs w:val="23"/>
        </w:rPr>
      </w:pPr>
      <w:r w:rsidRPr="00304CD6">
        <w:rPr>
          <w:rFonts w:ascii="Calibri" w:hAnsi="Calibri" w:cs="Calibri"/>
          <w:sz w:val="23"/>
          <w:szCs w:val="23"/>
        </w:rPr>
        <w:t>impaired adherence to medication.</w:t>
      </w:r>
    </w:p>
    <w:p w14:paraId="43CD9AC3" w14:textId="77777777" w:rsidR="00B02420" w:rsidRPr="00304CD6" w:rsidRDefault="00B02420" w:rsidP="00B02420">
      <w:pPr>
        <w:pStyle w:val="ListParagraph"/>
        <w:numPr>
          <w:ilvl w:val="1"/>
          <w:numId w:val="8"/>
        </w:numPr>
        <w:spacing w:after="0" w:line="240" w:lineRule="auto"/>
        <w:jc w:val="both"/>
        <w:rPr>
          <w:rFonts w:ascii="Calibri" w:hAnsi="Calibri" w:cs="Calibri"/>
          <w:sz w:val="23"/>
          <w:szCs w:val="23"/>
        </w:rPr>
      </w:pPr>
      <w:r w:rsidRPr="00304CD6">
        <w:rPr>
          <w:rFonts w:ascii="Calibri" w:hAnsi="Calibri" w:cs="Calibri"/>
          <w:sz w:val="23"/>
          <w:szCs w:val="23"/>
        </w:rPr>
        <w:t xml:space="preserve">a reduced quality of life. </w:t>
      </w:r>
    </w:p>
    <w:p w14:paraId="41B7055A" w14:textId="77777777" w:rsidR="00B02420" w:rsidRPr="00304CD6" w:rsidRDefault="00B02420" w:rsidP="00B02420">
      <w:pPr>
        <w:spacing w:after="0" w:line="240" w:lineRule="auto"/>
        <w:jc w:val="both"/>
        <w:rPr>
          <w:rFonts w:ascii="Calibri" w:hAnsi="Calibri" w:cs="Calibri"/>
          <w:sz w:val="23"/>
          <w:szCs w:val="23"/>
        </w:rPr>
      </w:pPr>
    </w:p>
    <w:p w14:paraId="255537B9" w14:textId="77777777" w:rsidR="00B02420" w:rsidRPr="00304CD6" w:rsidRDefault="00B02420" w:rsidP="00B02420">
      <w:pPr>
        <w:pStyle w:val="ListParagraph"/>
        <w:numPr>
          <w:ilvl w:val="0"/>
          <w:numId w:val="7"/>
        </w:numPr>
        <w:spacing w:after="0" w:line="240" w:lineRule="auto"/>
        <w:jc w:val="both"/>
        <w:rPr>
          <w:rFonts w:ascii="Calibri" w:hAnsi="Calibri" w:cs="Calibri"/>
          <w:sz w:val="23"/>
          <w:szCs w:val="23"/>
        </w:rPr>
      </w:pPr>
      <w:r w:rsidRPr="00304CD6">
        <w:rPr>
          <w:rFonts w:ascii="Calibri" w:hAnsi="Calibri" w:cs="Calibri"/>
          <w:sz w:val="23"/>
          <w:szCs w:val="23"/>
        </w:rPr>
        <w:t xml:space="preserve">When such complex medicines regimes and ‘polypharmacy’ occurs, it is imperative that they have expert support from prescribing pharmacists who can work with the patient to take a holistic view. Using their in-depth pharmacology and medicines expertise, they will consider the optimal medication regimen for an individual with co-morbidities, and in conjunction with the multidisciplinary team, appropriately de-prescribe or amend the medication so that it’s tailored to each individual circumstance. </w:t>
      </w:r>
    </w:p>
    <w:p w14:paraId="6ED36ED1" w14:textId="77777777" w:rsidR="00A00CDD" w:rsidRPr="00304CD6" w:rsidRDefault="00A00CDD" w:rsidP="003C6DB2">
      <w:pPr>
        <w:spacing w:after="0" w:line="240" w:lineRule="auto"/>
        <w:jc w:val="both"/>
        <w:rPr>
          <w:rFonts w:ascii="Calibri" w:hAnsi="Calibri" w:cs="Calibri"/>
          <w:i/>
          <w:iCs/>
          <w:sz w:val="23"/>
          <w:szCs w:val="23"/>
        </w:rPr>
      </w:pPr>
    </w:p>
    <w:p w14:paraId="2FF44CD3" w14:textId="36544B91" w:rsidR="00A00CDD" w:rsidRPr="00304CD6" w:rsidRDefault="00A00CDD" w:rsidP="003C6DB2">
      <w:pPr>
        <w:spacing w:after="0" w:line="240" w:lineRule="auto"/>
        <w:jc w:val="both"/>
        <w:rPr>
          <w:rFonts w:ascii="Calibri" w:hAnsi="Calibri" w:cs="Calibri"/>
          <w:b/>
          <w:bCs/>
          <w:sz w:val="23"/>
          <w:szCs w:val="23"/>
        </w:rPr>
      </w:pPr>
      <w:r w:rsidRPr="00304CD6">
        <w:rPr>
          <w:rFonts w:ascii="Calibri" w:hAnsi="Calibri" w:cs="Calibri"/>
          <w:b/>
          <w:bCs/>
          <w:sz w:val="23"/>
          <w:szCs w:val="23"/>
        </w:rPr>
        <w:t>Weight loss medicines</w:t>
      </w:r>
    </w:p>
    <w:p w14:paraId="713C005D" w14:textId="77777777" w:rsidR="00A00CDD" w:rsidRPr="00304CD6" w:rsidRDefault="00A00CDD" w:rsidP="003C6DB2">
      <w:pPr>
        <w:spacing w:after="0" w:line="240" w:lineRule="auto"/>
        <w:jc w:val="both"/>
        <w:rPr>
          <w:rFonts w:ascii="Calibri" w:hAnsi="Calibri" w:cs="Calibri"/>
          <w:b/>
          <w:bCs/>
          <w:sz w:val="23"/>
          <w:szCs w:val="23"/>
        </w:rPr>
      </w:pPr>
    </w:p>
    <w:p w14:paraId="3222665F" w14:textId="6A150FB2" w:rsidR="007B34BE" w:rsidRPr="00304CD6" w:rsidRDefault="007B34BE" w:rsidP="007B34BE">
      <w:pPr>
        <w:pStyle w:val="ListParagraph"/>
        <w:numPr>
          <w:ilvl w:val="0"/>
          <w:numId w:val="7"/>
        </w:numPr>
        <w:spacing w:after="0" w:line="240" w:lineRule="auto"/>
        <w:jc w:val="both"/>
        <w:rPr>
          <w:rFonts w:ascii="Calibri" w:hAnsi="Calibri" w:cs="Calibri"/>
          <w:sz w:val="23"/>
          <w:szCs w:val="23"/>
        </w:rPr>
      </w:pPr>
      <w:r w:rsidRPr="00304CD6">
        <w:rPr>
          <w:rFonts w:ascii="Calibri" w:hAnsi="Calibri" w:cs="Calibri"/>
          <w:sz w:val="23"/>
          <w:szCs w:val="23"/>
        </w:rPr>
        <w:t xml:space="preserve">Weight loss </w:t>
      </w:r>
      <w:r w:rsidR="00FA4D32" w:rsidRPr="00304CD6">
        <w:rPr>
          <w:rFonts w:ascii="Calibri" w:hAnsi="Calibri" w:cs="Calibri"/>
          <w:sz w:val="23"/>
          <w:szCs w:val="23"/>
        </w:rPr>
        <w:t>medicines</w:t>
      </w:r>
      <w:r w:rsidRPr="00304CD6">
        <w:rPr>
          <w:rFonts w:ascii="Calibri" w:hAnsi="Calibri" w:cs="Calibri"/>
          <w:sz w:val="23"/>
          <w:szCs w:val="23"/>
        </w:rPr>
        <w:t xml:space="preserve"> can be an effective option for people who are struggling to lose weight and have tried other methods without success. But they are not suitable for everyone and should always be used safely and with support from a healthcare professional.</w:t>
      </w:r>
      <w:r w:rsidR="003F53AB" w:rsidRPr="00304CD6">
        <w:rPr>
          <w:rFonts w:ascii="Calibri" w:hAnsi="Calibri" w:cs="Calibri"/>
          <w:sz w:val="23"/>
          <w:szCs w:val="23"/>
        </w:rPr>
        <w:t xml:space="preserve"> </w:t>
      </w:r>
    </w:p>
    <w:p w14:paraId="67FF0E7A" w14:textId="77777777" w:rsidR="00304CD6" w:rsidRPr="00304CD6" w:rsidRDefault="00304CD6" w:rsidP="00304CD6">
      <w:pPr>
        <w:spacing w:after="0" w:line="240" w:lineRule="auto"/>
        <w:jc w:val="both"/>
        <w:rPr>
          <w:rFonts w:ascii="Calibri" w:hAnsi="Calibri" w:cs="Calibri"/>
          <w:b/>
          <w:bCs/>
          <w:sz w:val="23"/>
          <w:szCs w:val="23"/>
        </w:rPr>
      </w:pPr>
    </w:p>
    <w:p w14:paraId="3EDB444C" w14:textId="77777777" w:rsidR="00304CD6" w:rsidRPr="00304CD6" w:rsidRDefault="00304CD6" w:rsidP="00304CD6">
      <w:pPr>
        <w:pStyle w:val="ListParagraph"/>
        <w:numPr>
          <w:ilvl w:val="0"/>
          <w:numId w:val="7"/>
        </w:numPr>
        <w:spacing w:after="0" w:line="240" w:lineRule="auto"/>
        <w:jc w:val="both"/>
        <w:rPr>
          <w:rFonts w:ascii="Calibri" w:hAnsi="Calibri" w:cs="Calibri"/>
          <w:sz w:val="23"/>
          <w:szCs w:val="23"/>
        </w:rPr>
      </w:pPr>
      <w:r w:rsidRPr="00304CD6">
        <w:rPr>
          <w:rFonts w:ascii="Calibri" w:hAnsi="Calibri" w:cs="Calibri"/>
          <w:sz w:val="23"/>
          <w:szCs w:val="23"/>
        </w:rPr>
        <w:t>Weight loss medicines should always be used alongside lifestyle changes, such as a healthy diet and regular exercise. Patients and other prescribers should always have access to the specialist expertise of pharmacists. Either based in community pharmacies, GP practices or hospital, pharmacists will be able to:</w:t>
      </w:r>
    </w:p>
    <w:p w14:paraId="7CD7F99D" w14:textId="77777777" w:rsidR="00304CD6" w:rsidRPr="00304CD6" w:rsidRDefault="00304CD6" w:rsidP="00304CD6">
      <w:pPr>
        <w:pStyle w:val="ListParagraph"/>
        <w:numPr>
          <w:ilvl w:val="1"/>
          <w:numId w:val="8"/>
        </w:numPr>
        <w:spacing w:after="0" w:line="240" w:lineRule="auto"/>
        <w:jc w:val="both"/>
        <w:rPr>
          <w:rFonts w:ascii="Calibri" w:hAnsi="Calibri" w:cs="Calibri"/>
          <w:sz w:val="23"/>
          <w:szCs w:val="23"/>
        </w:rPr>
      </w:pPr>
      <w:r w:rsidRPr="00304CD6">
        <w:rPr>
          <w:rFonts w:ascii="Calibri" w:hAnsi="Calibri" w:cs="Calibri"/>
          <w:sz w:val="23"/>
          <w:szCs w:val="23"/>
        </w:rPr>
        <w:t>discuss the side effects of the medicines that will help the patient determine what’s right for them.</w:t>
      </w:r>
    </w:p>
    <w:p w14:paraId="048FEC5B" w14:textId="77777777" w:rsidR="00304CD6" w:rsidRPr="00304CD6" w:rsidRDefault="00304CD6" w:rsidP="00304CD6">
      <w:pPr>
        <w:pStyle w:val="ListParagraph"/>
        <w:numPr>
          <w:ilvl w:val="1"/>
          <w:numId w:val="8"/>
        </w:numPr>
        <w:spacing w:after="0" w:line="240" w:lineRule="auto"/>
        <w:jc w:val="both"/>
        <w:rPr>
          <w:rFonts w:ascii="Calibri" w:hAnsi="Calibri" w:cs="Calibri"/>
          <w:sz w:val="23"/>
          <w:szCs w:val="23"/>
        </w:rPr>
      </w:pPr>
      <w:r w:rsidRPr="00304CD6">
        <w:rPr>
          <w:rFonts w:ascii="Calibri" w:hAnsi="Calibri" w:cs="Calibri"/>
          <w:sz w:val="23"/>
          <w:szCs w:val="23"/>
        </w:rPr>
        <w:t xml:space="preserve">help address any issues with adherence to the medicines. </w:t>
      </w:r>
    </w:p>
    <w:p w14:paraId="54602F8F" w14:textId="77777777" w:rsidR="007B34BE" w:rsidRPr="00304CD6" w:rsidRDefault="007B34BE" w:rsidP="003C6DB2">
      <w:pPr>
        <w:spacing w:after="0" w:line="240" w:lineRule="auto"/>
        <w:jc w:val="both"/>
        <w:rPr>
          <w:rFonts w:ascii="Calibri" w:hAnsi="Calibri" w:cs="Calibri"/>
          <w:b/>
          <w:bCs/>
          <w:sz w:val="23"/>
          <w:szCs w:val="23"/>
        </w:rPr>
      </w:pPr>
    </w:p>
    <w:p w14:paraId="73A38261" w14:textId="4A340F2C" w:rsidR="003C6DB2" w:rsidRPr="00304CD6" w:rsidRDefault="003C6DB2" w:rsidP="003C6DB2">
      <w:pPr>
        <w:spacing w:after="0" w:line="240" w:lineRule="auto"/>
        <w:jc w:val="both"/>
        <w:rPr>
          <w:rFonts w:ascii="Calibri" w:hAnsi="Calibri" w:cs="Calibri"/>
          <w:i/>
          <w:iCs/>
          <w:sz w:val="23"/>
          <w:szCs w:val="23"/>
        </w:rPr>
      </w:pPr>
      <w:r w:rsidRPr="00304CD6">
        <w:rPr>
          <w:rFonts w:ascii="Calibri" w:hAnsi="Calibri" w:cs="Calibri"/>
          <w:i/>
          <w:iCs/>
          <w:sz w:val="23"/>
          <w:szCs w:val="23"/>
        </w:rPr>
        <w:t>Counterfeit medicines</w:t>
      </w:r>
    </w:p>
    <w:p w14:paraId="089377E3" w14:textId="77777777" w:rsidR="00304CD6" w:rsidRPr="00304CD6" w:rsidRDefault="00304CD6" w:rsidP="003C6DB2">
      <w:pPr>
        <w:spacing w:after="0" w:line="240" w:lineRule="auto"/>
        <w:jc w:val="both"/>
        <w:rPr>
          <w:rFonts w:ascii="Calibri" w:hAnsi="Calibri" w:cs="Calibri"/>
          <w:i/>
          <w:iCs/>
          <w:sz w:val="23"/>
          <w:szCs w:val="23"/>
        </w:rPr>
      </w:pPr>
    </w:p>
    <w:p w14:paraId="0B225CDD" w14:textId="3851DF8C" w:rsidR="003C6DB2" w:rsidRDefault="5BD41284" w:rsidP="003C6DB2">
      <w:pPr>
        <w:pStyle w:val="ListParagraph"/>
        <w:numPr>
          <w:ilvl w:val="0"/>
          <w:numId w:val="7"/>
        </w:numPr>
        <w:spacing w:after="0" w:line="240" w:lineRule="auto"/>
        <w:jc w:val="both"/>
        <w:rPr>
          <w:rFonts w:ascii="Calibri" w:hAnsi="Calibri" w:cs="Calibri"/>
          <w:sz w:val="23"/>
          <w:szCs w:val="23"/>
        </w:rPr>
      </w:pPr>
      <w:r w:rsidRPr="00304CD6">
        <w:rPr>
          <w:rFonts w:ascii="Calibri" w:hAnsi="Calibri" w:cs="Calibri"/>
          <w:sz w:val="23"/>
          <w:szCs w:val="23"/>
        </w:rPr>
        <w:t xml:space="preserve">We are concerned about </w:t>
      </w:r>
      <w:r w:rsidR="003C6DB2" w:rsidRPr="00304CD6">
        <w:rPr>
          <w:rFonts w:ascii="Calibri" w:hAnsi="Calibri" w:cs="Calibri"/>
          <w:sz w:val="23"/>
          <w:szCs w:val="23"/>
        </w:rPr>
        <w:t xml:space="preserve">the dangers of </w:t>
      </w:r>
      <w:r w:rsidR="003C6DB2" w:rsidRPr="003C6DB2">
        <w:rPr>
          <w:rFonts w:ascii="Calibri" w:hAnsi="Calibri" w:cs="Calibri"/>
          <w:sz w:val="23"/>
          <w:szCs w:val="23"/>
        </w:rPr>
        <w:t xml:space="preserve">counterfeit medicines from unregulated sources, </w:t>
      </w:r>
      <w:r w:rsidR="003C6DB2" w:rsidRPr="00304CD6">
        <w:rPr>
          <w:rFonts w:ascii="Calibri" w:hAnsi="Calibri" w:cs="Calibri"/>
          <w:sz w:val="23"/>
          <w:szCs w:val="23"/>
        </w:rPr>
        <w:t>as they may contain incorrect doses, harmful substances or no active ingredient at all</w:t>
      </w:r>
      <w:r w:rsidRPr="00304CD6">
        <w:rPr>
          <w:rFonts w:ascii="Calibri" w:hAnsi="Calibri" w:cs="Calibri"/>
          <w:sz w:val="23"/>
          <w:szCs w:val="23"/>
        </w:rPr>
        <w:t>.</w:t>
      </w:r>
      <w:r w:rsidR="00421C74" w:rsidRPr="00304CD6">
        <w:rPr>
          <w:rStyle w:val="FootnoteReference"/>
          <w:rFonts w:ascii="Calibri" w:hAnsi="Calibri" w:cs="Calibri"/>
          <w:sz w:val="23"/>
          <w:szCs w:val="23"/>
        </w:rPr>
        <w:footnoteReference w:id="4"/>
      </w:r>
      <w:r w:rsidRPr="00304CD6">
        <w:rPr>
          <w:rFonts w:ascii="Calibri" w:hAnsi="Calibri" w:cs="Calibri"/>
          <w:sz w:val="23"/>
          <w:szCs w:val="23"/>
        </w:rPr>
        <w:t xml:space="preserve"> This puts individuals who purchase them at risk of using something which is not licensed for use in the UK and could be potentially harmful. </w:t>
      </w:r>
      <w:r w:rsidR="00717EE3" w:rsidRPr="00304CD6">
        <w:rPr>
          <w:rFonts w:ascii="Calibri" w:hAnsi="Calibri" w:cs="Calibri"/>
          <w:sz w:val="23"/>
          <w:szCs w:val="23"/>
        </w:rPr>
        <w:t xml:space="preserve">For example, patients have been admitted to </w:t>
      </w:r>
      <w:r w:rsidRPr="00304CD6">
        <w:rPr>
          <w:rFonts w:ascii="Calibri" w:hAnsi="Calibri" w:cs="Calibri"/>
          <w:sz w:val="23"/>
          <w:szCs w:val="23"/>
        </w:rPr>
        <w:t xml:space="preserve">hospital </w:t>
      </w:r>
      <w:r w:rsidR="00717EE3" w:rsidRPr="00304CD6">
        <w:rPr>
          <w:rFonts w:ascii="Calibri" w:hAnsi="Calibri" w:cs="Calibri"/>
          <w:sz w:val="23"/>
          <w:szCs w:val="23"/>
        </w:rPr>
        <w:t>with hypoglycaemic</w:t>
      </w:r>
      <w:r w:rsidRPr="00304CD6">
        <w:rPr>
          <w:rFonts w:ascii="Calibri" w:hAnsi="Calibri" w:cs="Calibri"/>
          <w:sz w:val="23"/>
          <w:szCs w:val="23"/>
        </w:rPr>
        <w:t xml:space="preserve"> shock due to injections containing insulin rather than semaglutide.</w:t>
      </w:r>
      <w:r w:rsidR="00717EE3" w:rsidRPr="00304CD6">
        <w:rPr>
          <w:rStyle w:val="FootnoteReference"/>
          <w:rFonts w:ascii="Calibri" w:hAnsi="Calibri" w:cs="Calibri"/>
          <w:sz w:val="23"/>
          <w:szCs w:val="23"/>
        </w:rPr>
        <w:footnoteReference w:id="5"/>
      </w:r>
      <w:r w:rsidRPr="00304CD6">
        <w:rPr>
          <w:rFonts w:ascii="Calibri" w:hAnsi="Calibri" w:cs="Calibri"/>
          <w:sz w:val="23"/>
          <w:szCs w:val="23"/>
        </w:rPr>
        <w:t xml:space="preserve"> </w:t>
      </w:r>
    </w:p>
    <w:p w14:paraId="6F4F0D1E" w14:textId="77777777" w:rsidR="00304CD6" w:rsidRPr="00304CD6" w:rsidRDefault="00304CD6" w:rsidP="00304CD6">
      <w:pPr>
        <w:pStyle w:val="ListParagraph"/>
        <w:spacing w:after="0" w:line="240" w:lineRule="auto"/>
        <w:ind w:left="360"/>
        <w:jc w:val="both"/>
        <w:rPr>
          <w:rFonts w:ascii="Calibri" w:hAnsi="Calibri" w:cs="Calibri"/>
          <w:sz w:val="23"/>
          <w:szCs w:val="23"/>
        </w:rPr>
      </w:pPr>
    </w:p>
    <w:p w14:paraId="3893A58D" w14:textId="65E74778" w:rsidR="00B40E3C" w:rsidRPr="00304CD6" w:rsidRDefault="5BD41284" w:rsidP="003C6DB2">
      <w:pPr>
        <w:pStyle w:val="ListParagraph"/>
        <w:numPr>
          <w:ilvl w:val="0"/>
          <w:numId w:val="7"/>
        </w:numPr>
        <w:spacing w:after="0" w:line="240" w:lineRule="auto"/>
        <w:jc w:val="both"/>
        <w:rPr>
          <w:rFonts w:ascii="Calibri" w:hAnsi="Calibri" w:cs="Calibri"/>
          <w:sz w:val="23"/>
          <w:szCs w:val="23"/>
        </w:rPr>
      </w:pPr>
      <w:r w:rsidRPr="00304CD6">
        <w:rPr>
          <w:rFonts w:ascii="Calibri" w:hAnsi="Calibri" w:cs="Calibri"/>
          <w:sz w:val="23"/>
          <w:szCs w:val="23"/>
        </w:rPr>
        <w:lastRenderedPageBreak/>
        <w:t>It</w:t>
      </w:r>
      <w:r w:rsidR="00FB08E7" w:rsidRPr="00304CD6">
        <w:rPr>
          <w:rFonts w:ascii="Calibri" w:hAnsi="Calibri" w:cs="Calibri"/>
          <w:sz w:val="23"/>
          <w:szCs w:val="23"/>
        </w:rPr>
        <w:t xml:space="preserve"> i</w:t>
      </w:r>
      <w:r w:rsidRPr="00304CD6">
        <w:rPr>
          <w:rFonts w:ascii="Calibri" w:hAnsi="Calibri" w:cs="Calibri"/>
          <w:sz w:val="23"/>
          <w:szCs w:val="23"/>
        </w:rPr>
        <w:t>s important that national communication campaigns, health professionals and services that support weight</w:t>
      </w:r>
      <w:r w:rsidR="00304CD6" w:rsidRPr="00304CD6">
        <w:rPr>
          <w:rFonts w:ascii="Calibri" w:hAnsi="Calibri" w:cs="Calibri"/>
          <w:sz w:val="23"/>
          <w:szCs w:val="23"/>
        </w:rPr>
        <w:t xml:space="preserve"> </w:t>
      </w:r>
      <w:r w:rsidRPr="00304CD6">
        <w:rPr>
          <w:rFonts w:ascii="Calibri" w:hAnsi="Calibri" w:cs="Calibri"/>
          <w:sz w:val="23"/>
          <w:szCs w:val="23"/>
        </w:rPr>
        <w:t xml:space="preserve">loss clearly convey the serious risks to patients of purchasing these medicines </w:t>
      </w:r>
      <w:r w:rsidR="00FB08E7" w:rsidRPr="003C6DB2">
        <w:rPr>
          <w:rFonts w:ascii="Calibri" w:hAnsi="Calibri" w:cs="Calibri"/>
          <w:sz w:val="23"/>
          <w:szCs w:val="23"/>
        </w:rPr>
        <w:t>from unregulated sources</w:t>
      </w:r>
      <w:r w:rsidRPr="00304CD6">
        <w:rPr>
          <w:rFonts w:ascii="Calibri" w:hAnsi="Calibri" w:cs="Calibri"/>
          <w:sz w:val="23"/>
          <w:szCs w:val="23"/>
        </w:rPr>
        <w:t>.</w:t>
      </w:r>
    </w:p>
    <w:p w14:paraId="3D97E559" w14:textId="77777777" w:rsidR="00B206C1" w:rsidRPr="00304CD6" w:rsidRDefault="00B206C1" w:rsidP="003C6DB2">
      <w:pPr>
        <w:spacing w:after="0" w:line="240" w:lineRule="auto"/>
        <w:jc w:val="both"/>
        <w:rPr>
          <w:rFonts w:ascii="Calibri" w:hAnsi="Calibri" w:cs="Calibri"/>
          <w:i/>
          <w:iCs/>
          <w:sz w:val="23"/>
          <w:szCs w:val="23"/>
        </w:rPr>
      </w:pPr>
    </w:p>
    <w:p w14:paraId="05EDD87C" w14:textId="144CEC86" w:rsidR="003C6DB2" w:rsidRPr="00304CD6" w:rsidRDefault="0074697A" w:rsidP="003C6DB2">
      <w:pPr>
        <w:spacing w:after="0" w:line="240" w:lineRule="auto"/>
        <w:jc w:val="both"/>
        <w:rPr>
          <w:rFonts w:ascii="Calibri" w:hAnsi="Calibri" w:cs="Calibri"/>
          <w:i/>
          <w:iCs/>
          <w:sz w:val="23"/>
          <w:szCs w:val="23"/>
        </w:rPr>
      </w:pPr>
      <w:r>
        <w:rPr>
          <w:rFonts w:ascii="Calibri" w:hAnsi="Calibri" w:cs="Calibri"/>
          <w:i/>
          <w:iCs/>
          <w:sz w:val="23"/>
          <w:szCs w:val="23"/>
        </w:rPr>
        <w:t>Patient a</w:t>
      </w:r>
      <w:r w:rsidR="000E42F4" w:rsidRPr="00304CD6">
        <w:rPr>
          <w:rFonts w:ascii="Calibri" w:hAnsi="Calibri" w:cs="Calibri"/>
          <w:i/>
          <w:iCs/>
          <w:sz w:val="23"/>
          <w:szCs w:val="23"/>
        </w:rPr>
        <w:t>ccess to medicines</w:t>
      </w:r>
    </w:p>
    <w:p w14:paraId="730F3DA3" w14:textId="77777777" w:rsidR="00D2129B" w:rsidRPr="00304CD6" w:rsidRDefault="00D2129B" w:rsidP="00D2129B">
      <w:pPr>
        <w:spacing w:after="0" w:line="240" w:lineRule="auto"/>
        <w:jc w:val="both"/>
        <w:rPr>
          <w:rFonts w:ascii="Calibri" w:hAnsi="Calibri" w:cs="Calibri"/>
          <w:b/>
          <w:bCs/>
          <w:sz w:val="23"/>
          <w:szCs w:val="23"/>
        </w:rPr>
      </w:pPr>
    </w:p>
    <w:p w14:paraId="2ABC7F57" w14:textId="20E686DF" w:rsidR="00D2129B" w:rsidRPr="00304CD6" w:rsidRDefault="00D2129B" w:rsidP="00FC5AEA">
      <w:pPr>
        <w:pStyle w:val="ListParagraph"/>
        <w:numPr>
          <w:ilvl w:val="0"/>
          <w:numId w:val="7"/>
        </w:numPr>
        <w:spacing w:after="0" w:line="240" w:lineRule="auto"/>
        <w:jc w:val="both"/>
        <w:rPr>
          <w:rFonts w:ascii="Calibri" w:hAnsi="Calibri" w:cs="Calibri"/>
          <w:sz w:val="23"/>
          <w:szCs w:val="23"/>
        </w:rPr>
      </w:pPr>
      <w:r w:rsidRPr="00304CD6">
        <w:rPr>
          <w:rFonts w:ascii="Calibri" w:hAnsi="Calibri" w:cs="Calibri"/>
          <w:sz w:val="23"/>
          <w:szCs w:val="23"/>
        </w:rPr>
        <w:t>The 10-Year Health Plan highlights the importance of expanding access to weight loss services and treatments free at the point of need, whilst warning of the risk of these becoming “the preserve of those who can afford them despite those without the financial means having higher need”.</w:t>
      </w:r>
      <w:r w:rsidRPr="00304CD6">
        <w:rPr>
          <w:rStyle w:val="FootnoteReference"/>
          <w:rFonts w:ascii="Calibri" w:hAnsi="Calibri" w:cs="Calibri"/>
          <w:sz w:val="23"/>
          <w:szCs w:val="23"/>
        </w:rPr>
        <w:footnoteReference w:id="6"/>
      </w:r>
    </w:p>
    <w:p w14:paraId="54279EBC" w14:textId="77777777" w:rsidR="00FC5AEA" w:rsidRPr="00304CD6" w:rsidRDefault="00FC5AEA" w:rsidP="00FC5AEA">
      <w:pPr>
        <w:pStyle w:val="ListParagraph"/>
        <w:spacing w:after="0" w:line="240" w:lineRule="auto"/>
        <w:ind w:left="360"/>
        <w:jc w:val="both"/>
        <w:rPr>
          <w:rFonts w:ascii="Calibri" w:hAnsi="Calibri" w:cs="Calibri"/>
          <w:sz w:val="23"/>
          <w:szCs w:val="23"/>
        </w:rPr>
      </w:pPr>
    </w:p>
    <w:p w14:paraId="63C2AB5E" w14:textId="0B6FF389" w:rsidR="00FC5AEA" w:rsidRPr="00304CD6" w:rsidRDefault="00FC5AEA" w:rsidP="00FC5AEA">
      <w:pPr>
        <w:pStyle w:val="ListParagraph"/>
        <w:numPr>
          <w:ilvl w:val="0"/>
          <w:numId w:val="7"/>
        </w:numPr>
        <w:spacing w:after="0" w:line="240" w:lineRule="auto"/>
        <w:jc w:val="both"/>
        <w:rPr>
          <w:rFonts w:ascii="Calibri" w:hAnsi="Calibri" w:cs="Calibri"/>
          <w:sz w:val="23"/>
          <w:szCs w:val="23"/>
        </w:rPr>
      </w:pPr>
      <w:r w:rsidRPr="00304CD6">
        <w:rPr>
          <w:rFonts w:ascii="Calibri" w:hAnsi="Calibri" w:cs="Calibri"/>
          <w:sz w:val="23"/>
          <w:szCs w:val="23"/>
        </w:rPr>
        <w:t>The phased approach to weight loss medicines on the NHS</w:t>
      </w:r>
      <w:r w:rsidR="00F96B08" w:rsidRPr="00304CD6">
        <w:rPr>
          <w:rStyle w:val="FootnoteReference"/>
          <w:rFonts w:ascii="Calibri" w:hAnsi="Calibri" w:cs="Calibri"/>
          <w:sz w:val="23"/>
          <w:szCs w:val="23"/>
        </w:rPr>
        <w:footnoteReference w:id="7"/>
      </w:r>
      <w:r w:rsidRPr="00304CD6">
        <w:rPr>
          <w:rFonts w:ascii="Calibri" w:hAnsi="Calibri" w:cs="Calibri"/>
          <w:sz w:val="23"/>
          <w:szCs w:val="23"/>
        </w:rPr>
        <w:t xml:space="preserve"> has shone a spotlight on the wi</w:t>
      </w:r>
      <w:r w:rsidR="000217F0" w:rsidRPr="00304CD6">
        <w:rPr>
          <w:rFonts w:ascii="Calibri" w:hAnsi="Calibri" w:cs="Calibri"/>
          <w:sz w:val="23"/>
          <w:szCs w:val="23"/>
        </w:rPr>
        <w:t xml:space="preserve">der issue </w:t>
      </w:r>
      <w:r w:rsidRPr="00304CD6">
        <w:rPr>
          <w:rFonts w:ascii="Calibri" w:hAnsi="Calibri" w:cs="Calibri"/>
          <w:sz w:val="23"/>
          <w:szCs w:val="23"/>
        </w:rPr>
        <w:t>of boosting patient access to innovative medicines</w:t>
      </w:r>
      <w:r w:rsidR="00F96B08" w:rsidRPr="00304CD6">
        <w:rPr>
          <w:rFonts w:ascii="Calibri" w:hAnsi="Calibri" w:cs="Calibri"/>
          <w:sz w:val="23"/>
          <w:szCs w:val="23"/>
        </w:rPr>
        <w:t xml:space="preserve"> amid a constrained funding envelope</w:t>
      </w:r>
      <w:r w:rsidRPr="00304CD6">
        <w:rPr>
          <w:rFonts w:ascii="Calibri" w:hAnsi="Calibri" w:cs="Calibri"/>
          <w:sz w:val="23"/>
          <w:szCs w:val="23"/>
        </w:rPr>
        <w:t xml:space="preserve">. This is especially the case </w:t>
      </w:r>
      <w:r w:rsidR="00F96B08" w:rsidRPr="00304CD6">
        <w:rPr>
          <w:rFonts w:ascii="Calibri" w:hAnsi="Calibri" w:cs="Calibri"/>
          <w:sz w:val="23"/>
          <w:szCs w:val="23"/>
        </w:rPr>
        <w:t xml:space="preserve">with weight loss medicines, </w:t>
      </w:r>
      <w:r w:rsidRPr="00304CD6">
        <w:rPr>
          <w:rFonts w:ascii="Calibri" w:hAnsi="Calibri" w:cs="Calibri"/>
          <w:sz w:val="23"/>
          <w:szCs w:val="23"/>
        </w:rPr>
        <w:t xml:space="preserve">where a large number of people may </w:t>
      </w:r>
      <w:r w:rsidR="00F96B08" w:rsidRPr="00304CD6">
        <w:rPr>
          <w:rFonts w:ascii="Calibri" w:hAnsi="Calibri" w:cs="Calibri"/>
          <w:sz w:val="23"/>
          <w:szCs w:val="23"/>
        </w:rPr>
        <w:t xml:space="preserve">benefit from </w:t>
      </w:r>
      <w:r w:rsidRPr="00304CD6">
        <w:rPr>
          <w:rFonts w:ascii="Calibri" w:hAnsi="Calibri" w:cs="Calibri"/>
          <w:sz w:val="23"/>
          <w:szCs w:val="23"/>
        </w:rPr>
        <w:t>treatment</w:t>
      </w:r>
      <w:r w:rsidR="000217F0" w:rsidRPr="00304CD6">
        <w:rPr>
          <w:rFonts w:ascii="Calibri" w:hAnsi="Calibri" w:cs="Calibri"/>
          <w:sz w:val="23"/>
          <w:szCs w:val="23"/>
        </w:rPr>
        <w:t>,</w:t>
      </w:r>
      <w:r w:rsidR="00F96B08" w:rsidRPr="00304CD6">
        <w:rPr>
          <w:rFonts w:ascii="Calibri" w:hAnsi="Calibri" w:cs="Calibri"/>
          <w:sz w:val="23"/>
          <w:szCs w:val="23"/>
        </w:rPr>
        <w:t xml:space="preserve"> and </w:t>
      </w:r>
      <w:r w:rsidR="000217F0" w:rsidRPr="00304CD6">
        <w:rPr>
          <w:rFonts w:ascii="Calibri" w:hAnsi="Calibri" w:cs="Calibri"/>
          <w:sz w:val="23"/>
          <w:szCs w:val="23"/>
        </w:rPr>
        <w:t xml:space="preserve">even where the potential long-term </w:t>
      </w:r>
      <w:r w:rsidR="00F96B08" w:rsidRPr="00304CD6">
        <w:rPr>
          <w:rFonts w:ascii="Calibri" w:hAnsi="Calibri" w:cs="Calibri"/>
          <w:sz w:val="23"/>
          <w:szCs w:val="23"/>
        </w:rPr>
        <w:t xml:space="preserve">health and economic advantages </w:t>
      </w:r>
      <w:r w:rsidR="000217F0" w:rsidRPr="00304CD6">
        <w:rPr>
          <w:rFonts w:ascii="Calibri" w:hAnsi="Calibri" w:cs="Calibri"/>
          <w:sz w:val="23"/>
          <w:szCs w:val="23"/>
        </w:rPr>
        <w:t>may be considerable.</w:t>
      </w:r>
    </w:p>
    <w:p w14:paraId="0826FB66" w14:textId="77777777" w:rsidR="00895FB7" w:rsidRPr="00304CD6" w:rsidRDefault="00895FB7" w:rsidP="003A1638">
      <w:pPr>
        <w:spacing w:after="0" w:line="240" w:lineRule="auto"/>
        <w:jc w:val="both"/>
        <w:rPr>
          <w:rFonts w:ascii="Calibri" w:hAnsi="Calibri" w:cs="Calibri"/>
          <w:b/>
          <w:bCs/>
          <w:sz w:val="23"/>
          <w:szCs w:val="23"/>
        </w:rPr>
      </w:pPr>
    </w:p>
    <w:p w14:paraId="5E765EE8" w14:textId="77728F9E" w:rsidR="00B40E3C" w:rsidRPr="00304CD6" w:rsidRDefault="7F9DE21C" w:rsidP="004D22D0">
      <w:pPr>
        <w:pStyle w:val="ListParagraph"/>
        <w:numPr>
          <w:ilvl w:val="0"/>
          <w:numId w:val="7"/>
        </w:numPr>
        <w:spacing w:after="0" w:line="240" w:lineRule="auto"/>
        <w:jc w:val="both"/>
        <w:rPr>
          <w:rFonts w:ascii="Calibri" w:hAnsi="Calibri" w:cs="Calibri"/>
          <w:sz w:val="23"/>
          <w:szCs w:val="23"/>
        </w:rPr>
      </w:pPr>
      <w:r w:rsidRPr="00304CD6">
        <w:rPr>
          <w:rFonts w:ascii="Calibri" w:hAnsi="Calibri" w:cs="Calibri"/>
          <w:sz w:val="23"/>
          <w:szCs w:val="23"/>
        </w:rPr>
        <w:t>Although treatments have been recommended by NICE</w:t>
      </w:r>
      <w:r w:rsidR="00FC5AEA" w:rsidRPr="00304CD6">
        <w:rPr>
          <w:rFonts w:ascii="Calibri" w:hAnsi="Calibri" w:cs="Calibri"/>
          <w:sz w:val="23"/>
          <w:szCs w:val="23"/>
        </w:rPr>
        <w:t xml:space="preserve">, </w:t>
      </w:r>
      <w:r w:rsidR="00304CD6">
        <w:rPr>
          <w:rFonts w:ascii="Calibri" w:hAnsi="Calibri" w:cs="Calibri"/>
          <w:sz w:val="23"/>
          <w:szCs w:val="23"/>
        </w:rPr>
        <w:t>this</w:t>
      </w:r>
      <w:r w:rsidR="00FC5AEA" w:rsidRPr="00304CD6">
        <w:rPr>
          <w:rFonts w:ascii="Calibri" w:hAnsi="Calibri" w:cs="Calibri"/>
          <w:sz w:val="23"/>
          <w:szCs w:val="23"/>
        </w:rPr>
        <w:t xml:space="preserve"> may not take into account the wraparound services needed to support implementation and uptake. This may also not be supported adequate </w:t>
      </w:r>
      <w:r w:rsidRPr="00304CD6">
        <w:rPr>
          <w:rFonts w:ascii="Calibri" w:hAnsi="Calibri" w:cs="Calibri"/>
          <w:sz w:val="23"/>
          <w:szCs w:val="23"/>
        </w:rPr>
        <w:t>infrastructure and resources</w:t>
      </w:r>
      <w:r w:rsidR="00FC5AEA" w:rsidRPr="00304CD6">
        <w:rPr>
          <w:rFonts w:ascii="Calibri" w:hAnsi="Calibri" w:cs="Calibri"/>
          <w:sz w:val="23"/>
          <w:szCs w:val="23"/>
        </w:rPr>
        <w:t xml:space="preserve">, such as </w:t>
      </w:r>
      <w:r w:rsidRPr="00304CD6">
        <w:rPr>
          <w:rFonts w:ascii="Calibri" w:hAnsi="Calibri" w:cs="Calibri"/>
          <w:sz w:val="23"/>
          <w:szCs w:val="23"/>
        </w:rPr>
        <w:t>financial or</w:t>
      </w:r>
      <w:r w:rsidR="00FC5AEA" w:rsidRPr="00304CD6">
        <w:rPr>
          <w:rFonts w:ascii="Calibri" w:hAnsi="Calibri" w:cs="Calibri"/>
          <w:sz w:val="23"/>
          <w:szCs w:val="23"/>
        </w:rPr>
        <w:t xml:space="preserve"> workforce, </w:t>
      </w:r>
      <w:r w:rsidRPr="00304CD6">
        <w:rPr>
          <w:rFonts w:ascii="Calibri" w:hAnsi="Calibri" w:cs="Calibri"/>
          <w:sz w:val="23"/>
          <w:szCs w:val="23"/>
        </w:rPr>
        <w:t xml:space="preserve">to support weight loss services. This </w:t>
      </w:r>
      <w:r w:rsidR="00FC5AEA" w:rsidRPr="00304CD6">
        <w:rPr>
          <w:rFonts w:ascii="Calibri" w:hAnsi="Calibri" w:cs="Calibri"/>
          <w:sz w:val="23"/>
          <w:szCs w:val="23"/>
        </w:rPr>
        <w:t xml:space="preserve">could </w:t>
      </w:r>
      <w:r w:rsidRPr="00304CD6">
        <w:rPr>
          <w:rFonts w:ascii="Calibri" w:hAnsi="Calibri" w:cs="Calibri"/>
          <w:sz w:val="23"/>
          <w:szCs w:val="23"/>
        </w:rPr>
        <w:t xml:space="preserve">mean that although </w:t>
      </w:r>
      <w:r w:rsidR="00FC5AEA" w:rsidRPr="00304CD6">
        <w:rPr>
          <w:rFonts w:ascii="Calibri" w:hAnsi="Calibri" w:cs="Calibri"/>
          <w:sz w:val="23"/>
          <w:szCs w:val="23"/>
        </w:rPr>
        <w:t xml:space="preserve">a medicine has NICE approval, </w:t>
      </w:r>
      <w:r w:rsidRPr="00304CD6">
        <w:rPr>
          <w:rFonts w:ascii="Calibri" w:hAnsi="Calibri" w:cs="Calibri"/>
          <w:sz w:val="23"/>
          <w:szCs w:val="23"/>
        </w:rPr>
        <w:t xml:space="preserve">the reality </w:t>
      </w:r>
      <w:r w:rsidR="00421C74" w:rsidRPr="00304CD6">
        <w:rPr>
          <w:rFonts w:ascii="Calibri" w:hAnsi="Calibri" w:cs="Calibri"/>
          <w:sz w:val="23"/>
          <w:szCs w:val="23"/>
        </w:rPr>
        <w:t xml:space="preserve">on the ground may </w:t>
      </w:r>
      <w:r w:rsidR="00A44ABF" w:rsidRPr="00304CD6">
        <w:rPr>
          <w:rFonts w:ascii="Calibri" w:hAnsi="Calibri" w:cs="Calibri"/>
          <w:sz w:val="23"/>
          <w:szCs w:val="23"/>
        </w:rPr>
        <w:t xml:space="preserve">be </w:t>
      </w:r>
      <w:r w:rsidRPr="00304CD6">
        <w:rPr>
          <w:rFonts w:ascii="Calibri" w:hAnsi="Calibri" w:cs="Calibri"/>
          <w:sz w:val="23"/>
          <w:szCs w:val="23"/>
        </w:rPr>
        <w:t xml:space="preserve">different. </w:t>
      </w:r>
    </w:p>
    <w:p w14:paraId="4CF57EB2" w14:textId="77777777" w:rsidR="000217F0" w:rsidRPr="00304CD6" w:rsidRDefault="000217F0" w:rsidP="000217F0">
      <w:pPr>
        <w:pStyle w:val="ListParagraph"/>
        <w:spacing w:after="0" w:line="240" w:lineRule="auto"/>
        <w:ind w:left="360"/>
        <w:jc w:val="both"/>
        <w:rPr>
          <w:rFonts w:ascii="Calibri" w:hAnsi="Calibri" w:cs="Calibri"/>
          <w:sz w:val="23"/>
          <w:szCs w:val="23"/>
        </w:rPr>
      </w:pPr>
    </w:p>
    <w:p w14:paraId="32305C9B" w14:textId="55D36328" w:rsidR="0075688B" w:rsidRPr="00304CD6" w:rsidRDefault="000217F0" w:rsidP="00290110">
      <w:pPr>
        <w:pStyle w:val="ListParagraph"/>
        <w:numPr>
          <w:ilvl w:val="0"/>
          <w:numId w:val="7"/>
        </w:numPr>
        <w:spacing w:after="0" w:line="240" w:lineRule="auto"/>
        <w:jc w:val="both"/>
        <w:rPr>
          <w:rFonts w:ascii="Calibri" w:hAnsi="Calibri" w:cs="Calibri"/>
          <w:b/>
          <w:bCs/>
          <w:sz w:val="23"/>
          <w:szCs w:val="23"/>
        </w:rPr>
      </w:pPr>
      <w:r w:rsidRPr="00304CD6">
        <w:rPr>
          <w:rFonts w:ascii="Calibri" w:hAnsi="Calibri" w:cs="Calibri"/>
          <w:sz w:val="23"/>
          <w:szCs w:val="23"/>
        </w:rPr>
        <w:t xml:space="preserve">A roundtable report </w:t>
      </w:r>
      <w:r w:rsidR="00DB0145">
        <w:rPr>
          <w:rFonts w:ascii="Calibri" w:hAnsi="Calibri" w:cs="Calibri"/>
          <w:sz w:val="23"/>
          <w:szCs w:val="23"/>
        </w:rPr>
        <w:t>by</w:t>
      </w:r>
      <w:r w:rsidRPr="00304CD6">
        <w:rPr>
          <w:rFonts w:ascii="Calibri" w:hAnsi="Calibri" w:cs="Calibri"/>
          <w:sz w:val="23"/>
          <w:szCs w:val="23"/>
        </w:rPr>
        <w:t xml:space="preserve"> Public Policy Projects noted the variation in the uptake and deployment of NICE-approved medicines across Integrated Care Systems.</w:t>
      </w:r>
      <w:r w:rsidRPr="00304CD6">
        <w:rPr>
          <w:rStyle w:val="FootnoteReference"/>
          <w:rFonts w:ascii="Calibri" w:hAnsi="Calibri" w:cs="Calibri"/>
          <w:sz w:val="23"/>
          <w:szCs w:val="23"/>
        </w:rPr>
        <w:footnoteReference w:id="8"/>
      </w:r>
      <w:r w:rsidR="003051DD" w:rsidRPr="00304CD6">
        <w:rPr>
          <w:rFonts w:ascii="Calibri" w:hAnsi="Calibri" w:cs="Calibri"/>
          <w:sz w:val="23"/>
          <w:szCs w:val="23"/>
        </w:rPr>
        <w:t xml:space="preserve"> </w:t>
      </w:r>
      <w:r w:rsidR="00B01A34" w:rsidRPr="00304CD6">
        <w:rPr>
          <w:rFonts w:ascii="Calibri" w:hAnsi="Calibri" w:cs="Calibri"/>
          <w:sz w:val="23"/>
          <w:szCs w:val="23"/>
        </w:rPr>
        <w:t>Senior p</w:t>
      </w:r>
      <w:r w:rsidR="003051DD" w:rsidRPr="00304CD6">
        <w:rPr>
          <w:rFonts w:ascii="Calibri" w:hAnsi="Calibri" w:cs="Calibri"/>
          <w:sz w:val="23"/>
          <w:szCs w:val="23"/>
        </w:rPr>
        <w:t xml:space="preserve">harmacists </w:t>
      </w:r>
      <w:r w:rsidR="00B01A34" w:rsidRPr="00304CD6">
        <w:rPr>
          <w:rFonts w:ascii="Calibri" w:hAnsi="Calibri" w:cs="Calibri"/>
          <w:sz w:val="23"/>
          <w:szCs w:val="23"/>
        </w:rPr>
        <w:t>within Integrated Care Boards may find t</w:t>
      </w:r>
      <w:r w:rsidR="003051DD" w:rsidRPr="00304CD6">
        <w:rPr>
          <w:rFonts w:ascii="Calibri" w:hAnsi="Calibri" w:cs="Calibri"/>
          <w:sz w:val="23"/>
          <w:szCs w:val="23"/>
        </w:rPr>
        <w:t xml:space="preserve">hemselves </w:t>
      </w:r>
      <w:r w:rsidR="007D6A73" w:rsidRPr="00304CD6">
        <w:rPr>
          <w:rFonts w:ascii="Calibri" w:hAnsi="Calibri" w:cs="Calibri"/>
          <w:sz w:val="23"/>
          <w:szCs w:val="23"/>
        </w:rPr>
        <w:t xml:space="preserve">having to </w:t>
      </w:r>
      <w:r w:rsidR="0075688B" w:rsidRPr="00304CD6">
        <w:rPr>
          <w:rFonts w:ascii="Calibri" w:hAnsi="Calibri" w:cs="Calibri"/>
          <w:sz w:val="23"/>
          <w:szCs w:val="23"/>
        </w:rPr>
        <w:t>negotiat</w:t>
      </w:r>
      <w:r w:rsidR="007D6A73" w:rsidRPr="00304CD6">
        <w:rPr>
          <w:rFonts w:ascii="Calibri" w:hAnsi="Calibri" w:cs="Calibri"/>
          <w:sz w:val="23"/>
          <w:szCs w:val="23"/>
        </w:rPr>
        <w:t>e</w:t>
      </w:r>
      <w:r w:rsidR="0075688B" w:rsidRPr="00304CD6">
        <w:rPr>
          <w:rFonts w:ascii="Calibri" w:hAnsi="Calibri" w:cs="Calibri"/>
          <w:sz w:val="23"/>
          <w:szCs w:val="23"/>
        </w:rPr>
        <w:t xml:space="preserve"> access to </w:t>
      </w:r>
      <w:r w:rsidR="00B01A34" w:rsidRPr="00304CD6">
        <w:rPr>
          <w:rFonts w:ascii="Calibri" w:hAnsi="Calibri" w:cs="Calibri"/>
          <w:sz w:val="23"/>
          <w:szCs w:val="23"/>
        </w:rPr>
        <w:t xml:space="preserve">innovative </w:t>
      </w:r>
      <w:r w:rsidR="0075688B" w:rsidRPr="00304CD6">
        <w:rPr>
          <w:rFonts w:ascii="Calibri" w:hAnsi="Calibri" w:cs="Calibri"/>
          <w:sz w:val="23"/>
          <w:szCs w:val="23"/>
        </w:rPr>
        <w:t>treatments amid increasing financial pressures.</w:t>
      </w:r>
      <w:r w:rsidR="007D6A73" w:rsidRPr="00304CD6">
        <w:rPr>
          <w:rFonts w:ascii="Calibri" w:hAnsi="Calibri" w:cs="Calibri"/>
          <w:sz w:val="23"/>
          <w:szCs w:val="23"/>
        </w:rPr>
        <w:t xml:space="preserve"> This is set against a backdrop of significant cuts to ICBs, changes to where responsibilities sit within the system, and the Government’s aim to</w:t>
      </w:r>
      <w:r w:rsidR="007D6A73" w:rsidRPr="00304CD6">
        <w:rPr>
          <w:rFonts w:ascii="Calibri" w:hAnsi="Calibri" w:cs="Calibri"/>
          <w:color w:val="0B0C0C"/>
          <w:sz w:val="23"/>
          <w:szCs w:val="23"/>
          <w:shd w:val="clear" w:color="auto" w:fill="FFFFFF"/>
        </w:rPr>
        <w:t xml:space="preserve"> </w:t>
      </w:r>
      <w:r w:rsidR="007D6A73" w:rsidRPr="00304CD6">
        <w:rPr>
          <w:rFonts w:ascii="Calibri" w:hAnsi="Calibri" w:cs="Calibri"/>
          <w:sz w:val="23"/>
          <w:szCs w:val="23"/>
        </w:rPr>
        <w:t>position the UK as the leading life sciences economy.</w:t>
      </w:r>
    </w:p>
    <w:p w14:paraId="21A5784F" w14:textId="77777777" w:rsidR="00B206C1" w:rsidRPr="00304CD6" w:rsidRDefault="00B206C1" w:rsidP="00B206C1">
      <w:pPr>
        <w:pStyle w:val="ListParagraph"/>
        <w:spacing w:after="0" w:line="240" w:lineRule="auto"/>
        <w:ind w:left="360"/>
        <w:jc w:val="both"/>
        <w:rPr>
          <w:rFonts w:ascii="Calibri" w:hAnsi="Calibri" w:cs="Calibri"/>
          <w:sz w:val="23"/>
          <w:szCs w:val="23"/>
        </w:rPr>
      </w:pPr>
    </w:p>
    <w:p w14:paraId="3E482177" w14:textId="65D33504" w:rsidR="00B206C1" w:rsidRPr="00304CD6" w:rsidRDefault="00B206C1" w:rsidP="00B206C1">
      <w:pPr>
        <w:pStyle w:val="ListParagraph"/>
        <w:numPr>
          <w:ilvl w:val="0"/>
          <w:numId w:val="7"/>
        </w:numPr>
        <w:spacing w:after="0" w:line="240" w:lineRule="auto"/>
        <w:jc w:val="both"/>
        <w:rPr>
          <w:rFonts w:ascii="Calibri" w:hAnsi="Calibri" w:cs="Calibri"/>
          <w:sz w:val="23"/>
          <w:szCs w:val="23"/>
        </w:rPr>
      </w:pPr>
      <w:r w:rsidRPr="00304CD6">
        <w:rPr>
          <w:rFonts w:ascii="Calibri" w:hAnsi="Calibri" w:cs="Calibri"/>
          <w:sz w:val="23"/>
          <w:szCs w:val="23"/>
        </w:rPr>
        <w:t>Amid major reforms and budget cuts, there is a risk that the move towards provider-led neighbourhood health models could see vital medicines governance and strategic oversight fragmented or deprioritised. Strong pharmacy leadership must be retained and visible across the system, from commissioning through to delivery, to safeguard quality, ensure best use of the NHS medicines budget, and deliver on key national priorities.</w:t>
      </w:r>
    </w:p>
    <w:p w14:paraId="003D0265" w14:textId="77777777" w:rsidR="0075688B" w:rsidRPr="00304CD6" w:rsidRDefault="0075688B" w:rsidP="003A1638">
      <w:pPr>
        <w:spacing w:after="0" w:line="240" w:lineRule="auto"/>
        <w:jc w:val="both"/>
        <w:rPr>
          <w:rFonts w:ascii="Calibri" w:hAnsi="Calibri" w:cs="Calibri"/>
          <w:b/>
          <w:bCs/>
          <w:sz w:val="23"/>
          <w:szCs w:val="23"/>
        </w:rPr>
      </w:pPr>
    </w:p>
    <w:p w14:paraId="79FEA747" w14:textId="544ECBD5" w:rsidR="00C56659" w:rsidRPr="00304CD6" w:rsidRDefault="003051DD" w:rsidP="003A1638">
      <w:pPr>
        <w:pStyle w:val="ListParagraph"/>
        <w:numPr>
          <w:ilvl w:val="0"/>
          <w:numId w:val="7"/>
        </w:numPr>
        <w:spacing w:after="0" w:line="240" w:lineRule="auto"/>
        <w:jc w:val="both"/>
        <w:rPr>
          <w:rFonts w:ascii="Calibri" w:hAnsi="Calibri" w:cs="Calibri"/>
          <w:sz w:val="23"/>
          <w:szCs w:val="23"/>
        </w:rPr>
      </w:pPr>
      <w:r w:rsidRPr="00304CD6">
        <w:rPr>
          <w:rFonts w:ascii="Calibri" w:hAnsi="Calibri" w:cs="Calibri"/>
          <w:sz w:val="23"/>
          <w:szCs w:val="23"/>
        </w:rPr>
        <w:t>The establishment of a Single National Formulary, as set out in the 10-Year Health Plan, has the potential to improve cost control and reduce the postcode lottery of access to medicines. At the same time, how this is implemented will be key to its success and clinicians must be able to exercise their professional judgement to benefit individual patients.</w:t>
      </w:r>
    </w:p>
    <w:p w14:paraId="78DC8B4A" w14:textId="77777777" w:rsidR="00D9052F" w:rsidRPr="00304CD6" w:rsidRDefault="00D9052F" w:rsidP="00D9052F">
      <w:pPr>
        <w:spacing w:after="0" w:line="240" w:lineRule="auto"/>
        <w:jc w:val="both"/>
        <w:rPr>
          <w:rFonts w:ascii="Calibri" w:hAnsi="Calibri" w:cs="Calibri"/>
          <w:sz w:val="23"/>
          <w:szCs w:val="23"/>
        </w:rPr>
      </w:pPr>
    </w:p>
    <w:p w14:paraId="5129E800" w14:textId="77777777" w:rsidR="00D9052F" w:rsidRPr="00304CD6" w:rsidRDefault="00D9052F" w:rsidP="00D9052F">
      <w:pPr>
        <w:spacing w:after="0" w:line="240" w:lineRule="auto"/>
        <w:jc w:val="both"/>
        <w:rPr>
          <w:rFonts w:ascii="Calibri" w:hAnsi="Calibri" w:cs="Calibri"/>
          <w:sz w:val="23"/>
          <w:szCs w:val="23"/>
        </w:rPr>
      </w:pPr>
    </w:p>
    <w:p w14:paraId="6FD24077" w14:textId="7BEFF1FE" w:rsidR="00D9052F" w:rsidRPr="00304CD6" w:rsidRDefault="00D9052F" w:rsidP="00D9052F">
      <w:pPr>
        <w:spacing w:after="0" w:line="240" w:lineRule="auto"/>
        <w:jc w:val="both"/>
        <w:rPr>
          <w:rFonts w:ascii="Calibri" w:hAnsi="Calibri" w:cs="Calibri"/>
          <w:i/>
          <w:iCs/>
          <w:sz w:val="23"/>
          <w:szCs w:val="23"/>
        </w:rPr>
      </w:pPr>
      <w:r w:rsidRPr="00304CD6">
        <w:rPr>
          <w:rFonts w:ascii="Calibri" w:hAnsi="Calibri" w:cs="Calibri"/>
          <w:i/>
          <w:iCs/>
          <w:sz w:val="23"/>
          <w:szCs w:val="23"/>
        </w:rPr>
        <w:t>August 2025</w:t>
      </w:r>
    </w:p>
    <w:sectPr w:rsidR="00D9052F" w:rsidRPr="00304C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961BD" w14:textId="77777777" w:rsidR="00CF0CE9" w:rsidRDefault="00CF0CE9" w:rsidP="005B57B7">
      <w:pPr>
        <w:spacing w:after="0" w:line="240" w:lineRule="auto"/>
      </w:pPr>
      <w:r>
        <w:separator/>
      </w:r>
    </w:p>
  </w:endnote>
  <w:endnote w:type="continuationSeparator" w:id="0">
    <w:p w14:paraId="206AC7E4" w14:textId="77777777" w:rsidR="00CF0CE9" w:rsidRDefault="00CF0CE9" w:rsidP="005B5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5EDFC" w14:textId="77777777" w:rsidR="00CF0CE9" w:rsidRDefault="00CF0CE9" w:rsidP="005B57B7">
      <w:pPr>
        <w:spacing w:after="0" w:line="240" w:lineRule="auto"/>
      </w:pPr>
      <w:r>
        <w:separator/>
      </w:r>
    </w:p>
  </w:footnote>
  <w:footnote w:type="continuationSeparator" w:id="0">
    <w:p w14:paraId="1FD26459" w14:textId="77777777" w:rsidR="00CF0CE9" w:rsidRDefault="00CF0CE9" w:rsidP="005B57B7">
      <w:pPr>
        <w:spacing w:after="0" w:line="240" w:lineRule="auto"/>
      </w:pPr>
      <w:r>
        <w:continuationSeparator/>
      </w:r>
    </w:p>
  </w:footnote>
  <w:footnote w:id="1">
    <w:p w14:paraId="51EBAACD" w14:textId="04598879" w:rsidR="0038019D" w:rsidRPr="003F53AB" w:rsidRDefault="0038019D" w:rsidP="0038019D">
      <w:pPr>
        <w:pStyle w:val="FootnoteText"/>
        <w:rPr>
          <w:rFonts w:ascii="Calibri" w:hAnsi="Calibri" w:cs="Calibri"/>
          <w:sz w:val="16"/>
          <w:szCs w:val="16"/>
        </w:rPr>
      </w:pPr>
      <w:r w:rsidRPr="003F53AB">
        <w:rPr>
          <w:rFonts w:ascii="Calibri" w:hAnsi="Calibri" w:cs="Calibri"/>
          <w:sz w:val="16"/>
          <w:szCs w:val="16"/>
          <w:vertAlign w:val="superscript"/>
        </w:rPr>
        <w:footnoteRef/>
      </w:r>
      <w:r w:rsidRPr="003F53AB">
        <w:rPr>
          <w:rFonts w:ascii="Calibri" w:hAnsi="Calibri" w:cs="Calibri"/>
          <w:sz w:val="16"/>
          <w:szCs w:val="16"/>
        </w:rPr>
        <w:t xml:space="preserve"> </w:t>
      </w:r>
      <w:r w:rsidR="00B40E3C" w:rsidRPr="003F53AB">
        <w:rPr>
          <w:rFonts w:ascii="Calibri" w:hAnsi="Calibri" w:cs="Calibri"/>
          <w:sz w:val="16"/>
          <w:szCs w:val="16"/>
        </w:rPr>
        <w:t>https://www.pharmacyregulation.org/about-us/publications-and-insights/research-data-and-insights/gphc-registers-data</w:t>
      </w:r>
    </w:p>
  </w:footnote>
  <w:footnote w:id="2">
    <w:p w14:paraId="62CAED49" w14:textId="77777777" w:rsidR="00B206C1" w:rsidRPr="003F53AB" w:rsidRDefault="00B206C1" w:rsidP="00B206C1">
      <w:pPr>
        <w:pStyle w:val="FootnoteText"/>
        <w:rPr>
          <w:rFonts w:ascii="Calibri" w:hAnsi="Calibri" w:cs="Calibri"/>
          <w:sz w:val="16"/>
          <w:szCs w:val="16"/>
        </w:rPr>
      </w:pPr>
      <w:r w:rsidRPr="003F53AB">
        <w:rPr>
          <w:rStyle w:val="FootnoteReference"/>
          <w:rFonts w:ascii="Calibri" w:hAnsi="Calibri" w:cs="Calibri"/>
          <w:sz w:val="16"/>
          <w:szCs w:val="16"/>
        </w:rPr>
        <w:footnoteRef/>
      </w:r>
      <w:r w:rsidRPr="003F53AB">
        <w:rPr>
          <w:rFonts w:ascii="Calibri" w:hAnsi="Calibri" w:cs="Calibri"/>
          <w:sz w:val="16"/>
          <w:szCs w:val="16"/>
        </w:rPr>
        <w:t xml:space="preserve"> https://www.pharmacyregulation.org/about-us/publications-and-insights/research-data-and-insights/gphc-registers-data</w:t>
      </w:r>
    </w:p>
  </w:footnote>
  <w:footnote w:id="3">
    <w:p w14:paraId="3B8114D3" w14:textId="77777777" w:rsidR="00B02420" w:rsidRPr="003F53AB" w:rsidRDefault="00B02420" w:rsidP="00B02420">
      <w:pPr>
        <w:pStyle w:val="FootnoteText"/>
        <w:rPr>
          <w:rFonts w:ascii="Calibri" w:hAnsi="Calibri" w:cs="Calibri"/>
          <w:sz w:val="16"/>
          <w:szCs w:val="16"/>
        </w:rPr>
      </w:pPr>
      <w:r w:rsidRPr="003F53AB">
        <w:rPr>
          <w:rStyle w:val="FootnoteReference"/>
          <w:rFonts w:ascii="Calibri" w:hAnsi="Calibri" w:cs="Calibri"/>
          <w:sz w:val="16"/>
          <w:szCs w:val="16"/>
        </w:rPr>
        <w:footnoteRef/>
      </w:r>
      <w:r w:rsidRPr="003F53AB">
        <w:rPr>
          <w:rFonts w:ascii="Calibri" w:hAnsi="Calibri" w:cs="Calibri"/>
          <w:sz w:val="16"/>
          <w:szCs w:val="16"/>
        </w:rPr>
        <w:t xml:space="preserve"> https://www.england.nhs.uk/2022/01/new-weight-loss-support-on-the-high-street/</w:t>
      </w:r>
    </w:p>
  </w:footnote>
  <w:footnote w:id="4">
    <w:p w14:paraId="438D1611" w14:textId="5C4629AC" w:rsidR="00421C74" w:rsidRPr="003F53AB" w:rsidRDefault="00421C74">
      <w:pPr>
        <w:pStyle w:val="FootnoteText"/>
        <w:rPr>
          <w:rFonts w:ascii="Calibri" w:hAnsi="Calibri" w:cs="Calibri"/>
          <w:sz w:val="16"/>
          <w:szCs w:val="16"/>
        </w:rPr>
      </w:pPr>
      <w:r w:rsidRPr="003F53AB">
        <w:rPr>
          <w:rStyle w:val="FootnoteReference"/>
          <w:rFonts w:ascii="Calibri" w:hAnsi="Calibri" w:cs="Calibri"/>
          <w:sz w:val="16"/>
          <w:szCs w:val="16"/>
        </w:rPr>
        <w:footnoteRef/>
      </w:r>
      <w:r w:rsidRPr="003F53AB">
        <w:rPr>
          <w:rFonts w:ascii="Calibri" w:hAnsi="Calibri" w:cs="Calibri"/>
          <w:sz w:val="16"/>
          <w:szCs w:val="16"/>
        </w:rPr>
        <w:t xml:space="preserve"> https://pharmaceutical-journal.com/article/news/uk-regulator-seizes-369-potentially-fake-weight-loss-pens-following-reports-of-hospitalisations</w:t>
      </w:r>
    </w:p>
  </w:footnote>
  <w:footnote w:id="5">
    <w:p w14:paraId="3814C61B" w14:textId="356A1868" w:rsidR="00717EE3" w:rsidRPr="003F53AB" w:rsidRDefault="00717EE3">
      <w:pPr>
        <w:pStyle w:val="FootnoteText"/>
        <w:rPr>
          <w:rFonts w:ascii="Calibri" w:hAnsi="Calibri" w:cs="Calibri"/>
          <w:sz w:val="16"/>
          <w:szCs w:val="16"/>
        </w:rPr>
      </w:pPr>
      <w:r w:rsidRPr="003F53AB">
        <w:rPr>
          <w:rStyle w:val="FootnoteReference"/>
          <w:rFonts w:ascii="Calibri" w:hAnsi="Calibri" w:cs="Calibri"/>
          <w:sz w:val="16"/>
          <w:szCs w:val="16"/>
        </w:rPr>
        <w:footnoteRef/>
      </w:r>
      <w:r w:rsidRPr="003F53AB">
        <w:rPr>
          <w:rFonts w:ascii="Calibri" w:hAnsi="Calibri" w:cs="Calibri"/>
          <w:sz w:val="16"/>
          <w:szCs w:val="16"/>
        </w:rPr>
        <w:t xml:space="preserve"> https://www.gov.uk/government/news/mhra-warns-of-unsafe-fake-weight-loss-pens</w:t>
      </w:r>
    </w:p>
  </w:footnote>
  <w:footnote w:id="6">
    <w:p w14:paraId="1C6E0074" w14:textId="77777777" w:rsidR="00D2129B" w:rsidRPr="003F53AB" w:rsidRDefault="00D2129B" w:rsidP="00D2129B">
      <w:pPr>
        <w:pStyle w:val="FootnoteText"/>
        <w:rPr>
          <w:rFonts w:ascii="Calibri" w:hAnsi="Calibri" w:cs="Calibri"/>
          <w:sz w:val="16"/>
          <w:szCs w:val="16"/>
        </w:rPr>
      </w:pPr>
      <w:r w:rsidRPr="003F53AB">
        <w:rPr>
          <w:rStyle w:val="FootnoteReference"/>
          <w:rFonts w:ascii="Calibri" w:hAnsi="Calibri" w:cs="Calibri"/>
          <w:sz w:val="16"/>
          <w:szCs w:val="16"/>
        </w:rPr>
        <w:footnoteRef/>
      </w:r>
      <w:r w:rsidRPr="003F53AB">
        <w:rPr>
          <w:rFonts w:ascii="Calibri" w:hAnsi="Calibri" w:cs="Calibri"/>
          <w:sz w:val="16"/>
          <w:szCs w:val="16"/>
        </w:rPr>
        <w:t xml:space="preserve"> https://assets.publishing.service.gov.uk/media/6888a0b1a11f859994409147/fit-for-the-future-10-year-health-plan-for-england.pdf</w:t>
      </w:r>
    </w:p>
  </w:footnote>
  <w:footnote w:id="7">
    <w:p w14:paraId="0FAA4CBC" w14:textId="7BD82A3B" w:rsidR="00F96B08" w:rsidRPr="003F53AB" w:rsidRDefault="00F96B08">
      <w:pPr>
        <w:pStyle w:val="FootnoteText"/>
        <w:rPr>
          <w:rFonts w:ascii="Calibri" w:hAnsi="Calibri" w:cs="Calibri"/>
          <w:sz w:val="16"/>
          <w:szCs w:val="16"/>
        </w:rPr>
      </w:pPr>
      <w:r w:rsidRPr="003F53AB">
        <w:rPr>
          <w:rStyle w:val="FootnoteReference"/>
          <w:rFonts w:ascii="Calibri" w:hAnsi="Calibri" w:cs="Calibri"/>
          <w:sz w:val="16"/>
          <w:szCs w:val="16"/>
        </w:rPr>
        <w:footnoteRef/>
      </w:r>
      <w:r w:rsidRPr="003F53AB">
        <w:rPr>
          <w:rFonts w:ascii="Calibri" w:hAnsi="Calibri" w:cs="Calibri"/>
          <w:sz w:val="16"/>
          <w:szCs w:val="16"/>
        </w:rPr>
        <w:t xml:space="preserve"> https://www.england.nhs.uk/ourwork/prevention/obesity/medicines-for-obesity/weight-management-injections/</w:t>
      </w:r>
    </w:p>
  </w:footnote>
  <w:footnote w:id="8">
    <w:p w14:paraId="452ABB04" w14:textId="43269649" w:rsidR="000217F0" w:rsidRPr="003F53AB" w:rsidRDefault="000217F0">
      <w:pPr>
        <w:pStyle w:val="FootnoteText"/>
        <w:rPr>
          <w:rFonts w:ascii="Calibri" w:hAnsi="Calibri" w:cs="Calibri"/>
          <w:sz w:val="16"/>
          <w:szCs w:val="16"/>
        </w:rPr>
      </w:pPr>
      <w:r w:rsidRPr="003F53AB">
        <w:rPr>
          <w:rStyle w:val="FootnoteReference"/>
          <w:rFonts w:ascii="Calibri" w:hAnsi="Calibri" w:cs="Calibri"/>
          <w:sz w:val="16"/>
          <w:szCs w:val="16"/>
        </w:rPr>
        <w:footnoteRef/>
      </w:r>
      <w:r w:rsidRPr="003F53AB">
        <w:rPr>
          <w:rFonts w:ascii="Calibri" w:hAnsi="Calibri" w:cs="Calibri"/>
          <w:sz w:val="16"/>
          <w:szCs w:val="16"/>
        </w:rPr>
        <w:t xml:space="preserve"> https://publicpolicyprojects.com/wp-content/uploads/2024/07/driving-equitable-access-to-medicines-across-ICSs-report-FINAL-1.pdf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85B20"/>
    <w:multiLevelType w:val="multilevel"/>
    <w:tmpl w:val="5EA42C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D76FD"/>
    <w:multiLevelType w:val="hybridMultilevel"/>
    <w:tmpl w:val="327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915A5"/>
    <w:multiLevelType w:val="hybridMultilevel"/>
    <w:tmpl w:val="111E2488"/>
    <w:lvl w:ilvl="0" w:tplc="CDA26A7C">
      <w:start w:val="1"/>
      <w:numFmt w:val="decimal"/>
      <w:lvlText w:val="%1."/>
      <w:lvlJc w:val="left"/>
      <w:pPr>
        <w:ind w:left="360" w:hanging="360"/>
      </w:pPr>
      <w:rPr>
        <w:b w:val="0"/>
        <w:bCs w:val="0"/>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2E562D6"/>
    <w:multiLevelType w:val="hybridMultilevel"/>
    <w:tmpl w:val="D30045D2"/>
    <w:lvl w:ilvl="0" w:tplc="D616AEC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A84D2A"/>
    <w:multiLevelType w:val="hybridMultilevel"/>
    <w:tmpl w:val="2C2C21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B565EB"/>
    <w:multiLevelType w:val="multilevel"/>
    <w:tmpl w:val="4D9A7B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2E3C8E"/>
    <w:multiLevelType w:val="hybridMultilevel"/>
    <w:tmpl w:val="B760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7E68E0"/>
    <w:multiLevelType w:val="hybridMultilevel"/>
    <w:tmpl w:val="15662C9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68702868">
    <w:abstractNumId w:val="0"/>
  </w:num>
  <w:num w:numId="2" w16cid:durableId="93408903">
    <w:abstractNumId w:val="5"/>
  </w:num>
  <w:num w:numId="3" w16cid:durableId="549149568">
    <w:abstractNumId w:val="1"/>
  </w:num>
  <w:num w:numId="4" w16cid:durableId="61609917">
    <w:abstractNumId w:val="3"/>
  </w:num>
  <w:num w:numId="5" w16cid:durableId="158742108">
    <w:abstractNumId w:val="4"/>
  </w:num>
  <w:num w:numId="6" w16cid:durableId="896552630">
    <w:abstractNumId w:val="6"/>
  </w:num>
  <w:num w:numId="7" w16cid:durableId="130447045">
    <w:abstractNumId w:val="2"/>
  </w:num>
  <w:num w:numId="8" w16cid:durableId="4657818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659"/>
    <w:rsid w:val="000217F0"/>
    <w:rsid w:val="000227BC"/>
    <w:rsid w:val="000838FE"/>
    <w:rsid w:val="00094365"/>
    <w:rsid w:val="000B1D49"/>
    <w:rsid w:val="000E42F4"/>
    <w:rsid w:val="00130A71"/>
    <w:rsid w:val="00160005"/>
    <w:rsid w:val="001E5537"/>
    <w:rsid w:val="0025255B"/>
    <w:rsid w:val="0029675E"/>
    <w:rsid w:val="00304CD6"/>
    <w:rsid w:val="003051DD"/>
    <w:rsid w:val="003753C0"/>
    <w:rsid w:val="0038019D"/>
    <w:rsid w:val="00391935"/>
    <w:rsid w:val="003A1638"/>
    <w:rsid w:val="003C6DB2"/>
    <w:rsid w:val="003F53AB"/>
    <w:rsid w:val="004175CF"/>
    <w:rsid w:val="00421C74"/>
    <w:rsid w:val="00460081"/>
    <w:rsid w:val="00546F6C"/>
    <w:rsid w:val="005479DD"/>
    <w:rsid w:val="005663F4"/>
    <w:rsid w:val="005B57B7"/>
    <w:rsid w:val="005F75E4"/>
    <w:rsid w:val="00634540"/>
    <w:rsid w:val="00642B39"/>
    <w:rsid w:val="006942F7"/>
    <w:rsid w:val="006E6D72"/>
    <w:rsid w:val="00714AA4"/>
    <w:rsid w:val="00717EE3"/>
    <w:rsid w:val="0074697A"/>
    <w:rsid w:val="0075688B"/>
    <w:rsid w:val="007929D8"/>
    <w:rsid w:val="007A7D3C"/>
    <w:rsid w:val="007B34BE"/>
    <w:rsid w:val="007D6A73"/>
    <w:rsid w:val="00801BD9"/>
    <w:rsid w:val="008472DA"/>
    <w:rsid w:val="00895FB7"/>
    <w:rsid w:val="009D4BAA"/>
    <w:rsid w:val="00A00CDD"/>
    <w:rsid w:val="00A23919"/>
    <w:rsid w:val="00A44ABF"/>
    <w:rsid w:val="00A83807"/>
    <w:rsid w:val="00AD23EA"/>
    <w:rsid w:val="00B01A34"/>
    <w:rsid w:val="00B02420"/>
    <w:rsid w:val="00B206C1"/>
    <w:rsid w:val="00B40E3C"/>
    <w:rsid w:val="00B95AA1"/>
    <w:rsid w:val="00BA5F6E"/>
    <w:rsid w:val="00C56659"/>
    <w:rsid w:val="00C96D44"/>
    <w:rsid w:val="00CF0CE9"/>
    <w:rsid w:val="00CF2A81"/>
    <w:rsid w:val="00D2129B"/>
    <w:rsid w:val="00D26EAA"/>
    <w:rsid w:val="00D9052F"/>
    <w:rsid w:val="00DB0145"/>
    <w:rsid w:val="00E11D5F"/>
    <w:rsid w:val="00E36523"/>
    <w:rsid w:val="00EC3AFD"/>
    <w:rsid w:val="00ED7515"/>
    <w:rsid w:val="00EF0BCB"/>
    <w:rsid w:val="00EF53F7"/>
    <w:rsid w:val="00F05F67"/>
    <w:rsid w:val="00F81DAB"/>
    <w:rsid w:val="00F9609E"/>
    <w:rsid w:val="00F96B08"/>
    <w:rsid w:val="00FA4D32"/>
    <w:rsid w:val="00FB08E7"/>
    <w:rsid w:val="00FC5AEA"/>
    <w:rsid w:val="00FD5CE1"/>
    <w:rsid w:val="00FF4A47"/>
    <w:rsid w:val="0E31A816"/>
    <w:rsid w:val="186D7002"/>
    <w:rsid w:val="251D1EC7"/>
    <w:rsid w:val="38DC00A3"/>
    <w:rsid w:val="393A17CE"/>
    <w:rsid w:val="3A0B6AB8"/>
    <w:rsid w:val="44394A1B"/>
    <w:rsid w:val="46C582F1"/>
    <w:rsid w:val="50654B7B"/>
    <w:rsid w:val="5B942A86"/>
    <w:rsid w:val="5BD41284"/>
    <w:rsid w:val="603D8729"/>
    <w:rsid w:val="6CB3E10B"/>
    <w:rsid w:val="78117813"/>
    <w:rsid w:val="78A346B9"/>
    <w:rsid w:val="7F9DE21C"/>
    <w:rsid w:val="7FD0F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CAC0C"/>
  <w15:chartTrackingRefBased/>
  <w15:docId w15:val="{F01D84B5-24F0-4F12-B48A-FD05B31EB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6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6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6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6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6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6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6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6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6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6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6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6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6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6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6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659"/>
    <w:rPr>
      <w:rFonts w:eastAsiaTheme="majorEastAsia" w:cstheme="majorBidi"/>
      <w:color w:val="272727" w:themeColor="text1" w:themeTint="D8"/>
    </w:rPr>
  </w:style>
  <w:style w:type="paragraph" w:styleId="Title">
    <w:name w:val="Title"/>
    <w:basedOn w:val="Normal"/>
    <w:next w:val="Normal"/>
    <w:link w:val="TitleChar"/>
    <w:uiPriority w:val="10"/>
    <w:qFormat/>
    <w:rsid w:val="00C56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6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6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6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659"/>
    <w:pPr>
      <w:spacing w:before="160"/>
      <w:jc w:val="center"/>
    </w:pPr>
    <w:rPr>
      <w:i/>
      <w:iCs/>
      <w:color w:val="404040" w:themeColor="text1" w:themeTint="BF"/>
    </w:rPr>
  </w:style>
  <w:style w:type="character" w:customStyle="1" w:styleId="QuoteChar">
    <w:name w:val="Quote Char"/>
    <w:basedOn w:val="DefaultParagraphFont"/>
    <w:link w:val="Quote"/>
    <w:uiPriority w:val="29"/>
    <w:rsid w:val="00C56659"/>
    <w:rPr>
      <w:i/>
      <w:iCs/>
      <w:color w:val="404040" w:themeColor="text1" w:themeTint="BF"/>
    </w:rPr>
  </w:style>
  <w:style w:type="paragraph" w:styleId="ListParagraph">
    <w:name w:val="List Paragraph"/>
    <w:basedOn w:val="Normal"/>
    <w:uiPriority w:val="34"/>
    <w:qFormat/>
    <w:rsid w:val="00C56659"/>
    <w:pPr>
      <w:ind w:left="720"/>
      <w:contextualSpacing/>
    </w:pPr>
  </w:style>
  <w:style w:type="character" w:styleId="IntenseEmphasis">
    <w:name w:val="Intense Emphasis"/>
    <w:basedOn w:val="DefaultParagraphFont"/>
    <w:uiPriority w:val="21"/>
    <w:qFormat/>
    <w:rsid w:val="00C56659"/>
    <w:rPr>
      <w:i/>
      <w:iCs/>
      <w:color w:val="0F4761" w:themeColor="accent1" w:themeShade="BF"/>
    </w:rPr>
  </w:style>
  <w:style w:type="paragraph" w:styleId="IntenseQuote">
    <w:name w:val="Intense Quote"/>
    <w:basedOn w:val="Normal"/>
    <w:next w:val="Normal"/>
    <w:link w:val="IntenseQuoteChar"/>
    <w:uiPriority w:val="30"/>
    <w:qFormat/>
    <w:rsid w:val="00C56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659"/>
    <w:rPr>
      <w:i/>
      <w:iCs/>
      <w:color w:val="0F4761" w:themeColor="accent1" w:themeShade="BF"/>
    </w:rPr>
  </w:style>
  <w:style w:type="character" w:styleId="IntenseReference">
    <w:name w:val="Intense Reference"/>
    <w:basedOn w:val="DefaultParagraphFont"/>
    <w:uiPriority w:val="32"/>
    <w:qFormat/>
    <w:rsid w:val="00C56659"/>
    <w:rPr>
      <w:b/>
      <w:bCs/>
      <w:smallCaps/>
      <w:color w:val="0F4761" w:themeColor="accent1" w:themeShade="BF"/>
      <w:spacing w:val="5"/>
    </w:rPr>
  </w:style>
  <w:style w:type="character" w:styleId="Hyperlink">
    <w:name w:val="Hyperlink"/>
    <w:basedOn w:val="DefaultParagraphFont"/>
    <w:uiPriority w:val="99"/>
    <w:unhideWhenUsed/>
    <w:rsid w:val="00F81DAB"/>
    <w:rPr>
      <w:color w:val="467886" w:themeColor="hyperlink"/>
      <w:u w:val="single"/>
    </w:rPr>
  </w:style>
  <w:style w:type="character" w:styleId="UnresolvedMention">
    <w:name w:val="Unresolved Mention"/>
    <w:basedOn w:val="DefaultParagraphFont"/>
    <w:uiPriority w:val="99"/>
    <w:semiHidden/>
    <w:unhideWhenUsed/>
    <w:rsid w:val="00F81DAB"/>
    <w:rPr>
      <w:color w:val="605E5C"/>
      <w:shd w:val="clear" w:color="auto" w:fill="E1DFDD"/>
    </w:rPr>
  </w:style>
  <w:style w:type="character" w:styleId="FollowedHyperlink">
    <w:name w:val="FollowedHyperlink"/>
    <w:basedOn w:val="DefaultParagraphFont"/>
    <w:uiPriority w:val="99"/>
    <w:semiHidden/>
    <w:unhideWhenUsed/>
    <w:rsid w:val="00F81DAB"/>
    <w:rPr>
      <w:color w:val="96607D" w:themeColor="followedHyperlink"/>
      <w:u w:val="single"/>
    </w:rPr>
  </w:style>
  <w:style w:type="paragraph" w:styleId="FootnoteText">
    <w:name w:val="footnote text"/>
    <w:basedOn w:val="Normal"/>
    <w:link w:val="FootnoteTextChar"/>
    <w:uiPriority w:val="99"/>
    <w:unhideWhenUsed/>
    <w:rsid w:val="005B57B7"/>
    <w:pPr>
      <w:spacing w:after="0" w:line="240" w:lineRule="auto"/>
    </w:pPr>
    <w:rPr>
      <w:rFonts w:ascii="Arial" w:hAnsi="Arial"/>
      <w:kern w:val="0"/>
      <w:sz w:val="20"/>
      <w:szCs w:val="20"/>
      <w14:ligatures w14:val="none"/>
    </w:rPr>
  </w:style>
  <w:style w:type="character" w:customStyle="1" w:styleId="FootnoteTextChar">
    <w:name w:val="Footnote Text Char"/>
    <w:basedOn w:val="DefaultParagraphFont"/>
    <w:link w:val="FootnoteText"/>
    <w:uiPriority w:val="99"/>
    <w:semiHidden/>
    <w:rsid w:val="005B57B7"/>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B57B7"/>
    <w:rPr>
      <w:vertAlign w:val="superscript"/>
    </w:rPr>
  </w:style>
  <w:style w:type="paragraph" w:styleId="Header">
    <w:name w:val="header"/>
    <w:basedOn w:val="Normal"/>
    <w:link w:val="HeaderChar"/>
    <w:uiPriority w:val="99"/>
    <w:unhideWhenUsed/>
    <w:rsid w:val="003801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19D"/>
  </w:style>
  <w:style w:type="paragraph" w:styleId="Footer">
    <w:name w:val="footer"/>
    <w:basedOn w:val="Normal"/>
    <w:link w:val="FooterChar"/>
    <w:uiPriority w:val="99"/>
    <w:unhideWhenUsed/>
    <w:rsid w:val="003801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19D"/>
  </w:style>
  <w:style w:type="character" w:customStyle="1" w:styleId="FootnoteTextChar1">
    <w:name w:val="Footnote Text Char1"/>
    <w:basedOn w:val="DefaultParagraphFont"/>
    <w:uiPriority w:val="99"/>
    <w:rsid w:val="0038019D"/>
    <w:rPr>
      <w:sz w:val="16"/>
    </w:rPr>
  </w:style>
  <w:style w:type="character" w:styleId="CommentReference">
    <w:name w:val="annotation reference"/>
    <w:basedOn w:val="DefaultParagraphFont"/>
    <w:uiPriority w:val="99"/>
    <w:semiHidden/>
    <w:unhideWhenUsed/>
    <w:rsid w:val="00CF2A81"/>
    <w:rPr>
      <w:sz w:val="16"/>
      <w:szCs w:val="16"/>
    </w:rPr>
  </w:style>
  <w:style w:type="paragraph" w:styleId="CommentText">
    <w:name w:val="annotation text"/>
    <w:basedOn w:val="Normal"/>
    <w:link w:val="CommentTextChar"/>
    <w:uiPriority w:val="99"/>
    <w:unhideWhenUsed/>
    <w:rsid w:val="00CF2A81"/>
    <w:pPr>
      <w:spacing w:line="240" w:lineRule="auto"/>
    </w:pPr>
    <w:rPr>
      <w:sz w:val="20"/>
      <w:szCs w:val="20"/>
    </w:rPr>
  </w:style>
  <w:style w:type="character" w:customStyle="1" w:styleId="CommentTextChar">
    <w:name w:val="Comment Text Char"/>
    <w:basedOn w:val="DefaultParagraphFont"/>
    <w:link w:val="CommentText"/>
    <w:uiPriority w:val="99"/>
    <w:rsid w:val="00CF2A81"/>
    <w:rPr>
      <w:sz w:val="20"/>
      <w:szCs w:val="20"/>
    </w:rPr>
  </w:style>
  <w:style w:type="paragraph" w:styleId="CommentSubject">
    <w:name w:val="annotation subject"/>
    <w:basedOn w:val="CommentText"/>
    <w:next w:val="CommentText"/>
    <w:link w:val="CommentSubjectChar"/>
    <w:uiPriority w:val="99"/>
    <w:semiHidden/>
    <w:unhideWhenUsed/>
    <w:rsid w:val="00CF2A81"/>
    <w:rPr>
      <w:b/>
      <w:bCs/>
    </w:rPr>
  </w:style>
  <w:style w:type="character" w:customStyle="1" w:styleId="CommentSubjectChar">
    <w:name w:val="Comment Subject Char"/>
    <w:basedOn w:val="CommentTextChar"/>
    <w:link w:val="CommentSubject"/>
    <w:uiPriority w:val="99"/>
    <w:semiHidden/>
    <w:rsid w:val="00CF2A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81232">
      <w:bodyDiv w:val="1"/>
      <w:marLeft w:val="0"/>
      <w:marRight w:val="0"/>
      <w:marTop w:val="0"/>
      <w:marBottom w:val="0"/>
      <w:divBdr>
        <w:top w:val="none" w:sz="0" w:space="0" w:color="auto"/>
        <w:left w:val="none" w:sz="0" w:space="0" w:color="auto"/>
        <w:bottom w:val="none" w:sz="0" w:space="0" w:color="auto"/>
        <w:right w:val="none" w:sz="0" w:space="0" w:color="auto"/>
      </w:divBdr>
    </w:div>
    <w:div w:id="1170679367">
      <w:bodyDiv w:val="1"/>
      <w:marLeft w:val="0"/>
      <w:marRight w:val="0"/>
      <w:marTop w:val="0"/>
      <w:marBottom w:val="0"/>
      <w:divBdr>
        <w:top w:val="none" w:sz="0" w:space="0" w:color="auto"/>
        <w:left w:val="none" w:sz="0" w:space="0" w:color="auto"/>
        <w:bottom w:val="none" w:sz="0" w:space="0" w:color="auto"/>
        <w:right w:val="none" w:sz="0" w:space="0" w:color="auto"/>
      </w:divBdr>
    </w:div>
    <w:div w:id="1398357813">
      <w:bodyDiv w:val="1"/>
      <w:marLeft w:val="0"/>
      <w:marRight w:val="0"/>
      <w:marTop w:val="0"/>
      <w:marBottom w:val="0"/>
      <w:divBdr>
        <w:top w:val="none" w:sz="0" w:space="0" w:color="auto"/>
        <w:left w:val="none" w:sz="0" w:space="0" w:color="auto"/>
        <w:bottom w:val="none" w:sz="0" w:space="0" w:color="auto"/>
        <w:right w:val="none" w:sz="0" w:space="0" w:color="auto"/>
      </w:divBdr>
    </w:div>
    <w:div w:id="194025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E9BAE-87A9-4CE1-83EC-8B11C431C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Wright</dc:creator>
  <cp:keywords/>
  <dc:description/>
  <cp:lastModifiedBy>John Lunny</cp:lastModifiedBy>
  <cp:revision>8</cp:revision>
  <dcterms:created xsi:type="dcterms:W3CDTF">2025-08-28T16:02:00Z</dcterms:created>
  <dcterms:modified xsi:type="dcterms:W3CDTF">2025-08-28T16:06:00Z</dcterms:modified>
</cp:coreProperties>
</file>