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CABF" w14:textId="06E82C69" w:rsidR="005E72E7" w:rsidRDefault="005E72E7">
      <w:pPr>
        <w:rPr>
          <w:b/>
          <w:bCs/>
        </w:rPr>
      </w:pPr>
      <w:r>
        <w:rPr>
          <w:noProof/>
        </w:rPr>
        <w:drawing>
          <wp:inline distT="0" distB="0" distL="0" distR="0" wp14:anchorId="06337A7B" wp14:editId="3827F7CD">
            <wp:extent cx="2440112" cy="723900"/>
            <wp:effectExtent l="0" t="0" r="0" b="0"/>
            <wp:docPr id="14557021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02114" name="Picture 1" descr="A close-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191" cy="728373"/>
                    </a:xfrm>
                    <a:prstGeom prst="rect">
                      <a:avLst/>
                    </a:prstGeom>
                    <a:noFill/>
                    <a:ln>
                      <a:noFill/>
                    </a:ln>
                  </pic:spPr>
                </pic:pic>
              </a:graphicData>
            </a:graphic>
          </wp:inline>
        </w:drawing>
      </w:r>
    </w:p>
    <w:p w14:paraId="0D583D41" w14:textId="77777777" w:rsidR="005E72E7" w:rsidRDefault="005E72E7">
      <w:pPr>
        <w:rPr>
          <w:b/>
          <w:bCs/>
        </w:rPr>
      </w:pPr>
    </w:p>
    <w:p w14:paraId="560730DE" w14:textId="77777777" w:rsidR="005E72E7" w:rsidRDefault="005E72E7" w:rsidP="005E72E7">
      <w:pPr>
        <w:jc w:val="center"/>
        <w:rPr>
          <w:b/>
          <w:bCs/>
        </w:rPr>
      </w:pPr>
      <w:r>
        <w:rPr>
          <w:b/>
          <w:bCs/>
        </w:rPr>
        <w:t xml:space="preserve">GPhC </w:t>
      </w:r>
      <w:r w:rsidR="00755EC0" w:rsidRPr="00755EC0">
        <w:rPr>
          <w:b/>
          <w:bCs/>
        </w:rPr>
        <w:t>consultation on draft changes to fees 2025</w:t>
      </w:r>
    </w:p>
    <w:p w14:paraId="06D5F958" w14:textId="5A71AD03" w:rsidR="00755EC0" w:rsidRDefault="005E72E7" w:rsidP="005E72E7">
      <w:pPr>
        <w:jc w:val="center"/>
      </w:pPr>
      <w:r>
        <w:rPr>
          <w:b/>
          <w:bCs/>
        </w:rPr>
        <w:t>Royal Pharmaceutical Society Response</w:t>
      </w:r>
    </w:p>
    <w:p w14:paraId="6198689D" w14:textId="6CEA9A40" w:rsidR="004B0F13" w:rsidRPr="004B0F13" w:rsidRDefault="004E4AF9" w:rsidP="004B0F13">
      <w:r>
        <w:t>Thank you for provi</w:t>
      </w:r>
      <w:r w:rsidR="002743D3">
        <w:t>di</w:t>
      </w:r>
      <w:r>
        <w:t>ng us</w:t>
      </w:r>
      <w:r w:rsidR="001552BD">
        <w:t xml:space="preserve"> at the Royal Pharmaceutical Society (RPS)</w:t>
      </w:r>
      <w:r>
        <w:t xml:space="preserve"> with the opportunity to respond to the consultation, w</w:t>
      </w:r>
      <w:r w:rsidR="004B0F13" w:rsidRPr="004B0F13">
        <w:t xml:space="preserve">hilst we are not answering the detailed questions in our response there are a </w:t>
      </w:r>
      <w:r>
        <w:t>number</w:t>
      </w:r>
      <w:r w:rsidR="004B0F13" w:rsidRPr="004B0F13">
        <w:t xml:space="preserve"> of points we would like to </w:t>
      </w:r>
      <w:r>
        <w:t>raise on behalf of members</w:t>
      </w:r>
      <w:r w:rsidR="004B0F13" w:rsidRPr="004B0F13">
        <w:t>.</w:t>
      </w:r>
    </w:p>
    <w:p w14:paraId="1BF720F6" w14:textId="3B89A74E" w:rsidR="004B0F13" w:rsidRPr="004B0F13" w:rsidRDefault="004B0F13" w:rsidP="004B0F13">
      <w:r w:rsidRPr="004B0F13">
        <w:t>We strongly support the need for effective regulation. Regulation is essential to safeguard and ensure that the quality and safety of care that people are entitled to receive from pharmacy professionals and within pharmacy settings is met. It is also crucial as a means to ensure that pharmacy professionals are working in safe and supportive working environments.</w:t>
      </w:r>
    </w:p>
    <w:p w14:paraId="72B84838" w14:textId="1B8E5939" w:rsidR="004B0F13" w:rsidRPr="004B0F13" w:rsidRDefault="004E4AF9" w:rsidP="2E9C7D25">
      <w:pPr>
        <w:rPr>
          <w:i/>
          <w:iCs/>
        </w:rPr>
      </w:pPr>
      <w:r>
        <w:t>Detailed in the consultation on draft changes to fees, w</w:t>
      </w:r>
      <w:r w:rsidR="2E9C7D25">
        <w:t>e welcome some of the efforts made by the GPhC to reduce their cost base</w:t>
      </w:r>
      <w:r>
        <w:t xml:space="preserve"> and understand the challenges faced by the GPhC, alongside many organisations, balancing increased operational costs outside of the control of the organisation.</w:t>
      </w:r>
      <w:r w:rsidR="2E9C7D25">
        <w:t xml:space="preserve"> </w:t>
      </w:r>
      <w:r>
        <w:t xml:space="preserve">Notwithstanding, we know these costs are also being felt personally by pharmacists and organisations operating a </w:t>
      </w:r>
      <w:r w:rsidR="002743D3">
        <w:t>p</w:t>
      </w:r>
      <w:r>
        <w:t xml:space="preserve">harmacy business against a difficult economic </w:t>
      </w:r>
      <w:r w:rsidR="00E17E4E">
        <w:t>backdrop. To that end, we note the proposed increase of 6% is above the current rate of inflation (</w:t>
      </w:r>
      <w:hyperlink r:id="rId8" w:history="1">
        <w:r w:rsidR="00E17E4E" w:rsidRPr="00E17E4E">
          <w:rPr>
            <w:rStyle w:val="Hyperlink"/>
          </w:rPr>
          <w:t xml:space="preserve">CPI rose by 3% in the 12 months to </w:t>
        </w:r>
        <w:r w:rsidR="002743D3" w:rsidRPr="00E17E4E">
          <w:rPr>
            <w:rStyle w:val="Hyperlink"/>
          </w:rPr>
          <w:t>Ja</w:t>
        </w:r>
        <w:r w:rsidR="002743D3" w:rsidRPr="00E17E4E">
          <w:rPr>
            <w:rStyle w:val="Hyperlink"/>
          </w:rPr>
          <w:t>n</w:t>
        </w:r>
        <w:r w:rsidR="002743D3" w:rsidRPr="00E17E4E">
          <w:rPr>
            <w:rStyle w:val="Hyperlink"/>
          </w:rPr>
          <w:t>uary</w:t>
        </w:r>
        <w:r w:rsidR="00E17E4E" w:rsidRPr="00E17E4E">
          <w:rPr>
            <w:rStyle w:val="Hyperlink"/>
          </w:rPr>
          <w:t xml:space="preserve"> 2025</w:t>
        </w:r>
      </w:hyperlink>
      <w:r w:rsidR="00E17E4E">
        <w:t>)</w:t>
      </w:r>
      <w:r w:rsidR="2E9C7D25">
        <w:t xml:space="preserve">. The difficult current financial situation that many pharmacy professionals find themselves in as the cost-of-living crisis continues means that any increase </w:t>
      </w:r>
      <w:r w:rsidR="00E17E4E">
        <w:t>must</w:t>
      </w:r>
      <w:r w:rsidR="2E9C7D25">
        <w:t xml:space="preserve"> be minimised. The registration fee is not optional for registrants, they need to be registered to be able to make a living, and therefore, this needs to be taken into consideration when increasing the fees</w:t>
      </w:r>
      <w:r w:rsidR="2E9C7D25" w:rsidRPr="2E9C7D25">
        <w:rPr>
          <w:i/>
          <w:iCs/>
        </w:rPr>
        <w:t xml:space="preserve">. </w:t>
      </w:r>
    </w:p>
    <w:p w14:paraId="60FE6ED2" w14:textId="0E4FEC41" w:rsidR="004B0F13" w:rsidRPr="004B0F13" w:rsidRDefault="2E9C7D25" w:rsidP="004B0F13">
      <w:r>
        <w:t xml:space="preserve">In addition, </w:t>
      </w:r>
      <w:r w:rsidR="00E17E4E">
        <w:t xml:space="preserve">we note that </w:t>
      </w:r>
      <w:r>
        <w:t xml:space="preserve">the registration fee is not equitable for those who are currently </w:t>
      </w:r>
      <w:r w:rsidR="001552BD">
        <w:t xml:space="preserve">registered but </w:t>
      </w:r>
      <w:r>
        <w:t xml:space="preserve">not practising, such as those who are undertaking maternity or paternity leave. The GPhC is out of step with other regulators, such as the </w:t>
      </w:r>
      <w:r w:rsidR="001552BD">
        <w:t xml:space="preserve">General </w:t>
      </w:r>
      <w:r w:rsidR="002743D3">
        <w:t>M</w:t>
      </w:r>
      <w:r w:rsidR="001552BD">
        <w:t>edical Council (</w:t>
      </w:r>
      <w:r>
        <w:t>GMC</w:t>
      </w:r>
      <w:r w:rsidR="001552BD">
        <w:t>)</w:t>
      </w:r>
      <w:r>
        <w:t xml:space="preserve">, who have allowances </w:t>
      </w:r>
      <w:r w:rsidR="002743D3">
        <w:t>and</w:t>
      </w:r>
      <w:r>
        <w:t xml:space="preserve"> discounts for these circumstances. The GPhC should consider their approach to registration for these professionals, </w:t>
      </w:r>
      <w:r w:rsidR="001552BD">
        <w:t xml:space="preserve">with a consideration to how these registrants could be supported and the feasibility of reduced fees during such time that they are not practising. </w:t>
      </w:r>
      <w:r>
        <w:t xml:space="preserve"> </w:t>
      </w:r>
    </w:p>
    <w:p w14:paraId="23CFB7EF" w14:textId="6136A2BF" w:rsidR="004B0F13" w:rsidRPr="004B0F13" w:rsidRDefault="2E9C7D25" w:rsidP="004B0F13">
      <w:r>
        <w:t xml:space="preserve">Introducing income related discounts has the potential to support some pharmacy professionals who may be struggling. There are opportunities to learn how this is being </w:t>
      </w:r>
      <w:r>
        <w:lastRenderedPageBreak/>
        <w:t xml:space="preserve">done by other regulators such as the GMC who give reductions for doctors on low incomes, and doctors in their foundation years. Other regulators including the </w:t>
      </w:r>
      <w:r w:rsidR="001552BD">
        <w:t>General Optical Council (</w:t>
      </w:r>
      <w:r>
        <w:t>GOC</w:t>
      </w:r>
      <w:r w:rsidR="001552BD">
        <w:t>)</w:t>
      </w:r>
      <w:r>
        <w:t xml:space="preserve"> and </w:t>
      </w:r>
      <w:r w:rsidR="001552BD">
        <w:t>Health and Care Professionals council (</w:t>
      </w:r>
      <w:r>
        <w:t>HCPC</w:t>
      </w:r>
      <w:r w:rsidR="001552BD">
        <w:t>)</w:t>
      </w:r>
      <w:r>
        <w:t xml:space="preserve"> also offer differential fees, which suggests that this approach is possible. </w:t>
      </w:r>
    </w:p>
    <w:p w14:paraId="72D0000C" w14:textId="66A019D2" w:rsidR="004B0F13" w:rsidRPr="004B0F13" w:rsidRDefault="001552BD" w:rsidP="004B0F13">
      <w:r>
        <w:t xml:space="preserve">A particular model that could be explored is one similar to ourselves at RPS. </w:t>
      </w:r>
      <w:r w:rsidR="002743D3">
        <w:t>W</w:t>
      </w:r>
      <w:r>
        <w:t>here</w:t>
      </w:r>
      <w:r w:rsidR="002743D3">
        <w:t xml:space="preserve"> </w:t>
      </w:r>
      <w:r w:rsidR="2E9C7D25">
        <w:t xml:space="preserve">reduced fees </w:t>
      </w:r>
      <w:r>
        <w:t xml:space="preserve">are available </w:t>
      </w:r>
      <w:r w:rsidR="2E9C7D25">
        <w:t xml:space="preserve">for members not </w:t>
      </w:r>
      <w:r>
        <w:t xml:space="preserve">actively </w:t>
      </w:r>
      <w:r w:rsidR="002743D3">
        <w:t>practising</w:t>
      </w:r>
      <w:r>
        <w:t xml:space="preserve"> and hence are likely to have a reduced income, for example, those</w:t>
      </w:r>
      <w:r w:rsidR="2E9C7D25">
        <w:t xml:space="preserve"> who are on maternity leave and for members with a long-term illness.</w:t>
      </w:r>
      <w:r>
        <w:t xml:space="preserve"> In addition, w</w:t>
      </w:r>
      <w:r w:rsidR="2E9C7D25">
        <w:t xml:space="preserve">e also offer </w:t>
      </w:r>
      <w:r>
        <w:t xml:space="preserve">a </w:t>
      </w:r>
      <w:r w:rsidR="2E9C7D25">
        <w:t>reduced fee</w:t>
      </w:r>
      <w:r>
        <w:t xml:space="preserve"> membership for those pharmacists who have recently qualifie</w:t>
      </w:r>
      <w:r w:rsidR="002743D3">
        <w:t>d</w:t>
      </w:r>
      <w:r>
        <w:t>, this encompasses those in the first two years post qualification.</w:t>
      </w:r>
      <w:r w:rsidR="002743D3">
        <w:t xml:space="preserve"> </w:t>
      </w:r>
      <w:r w:rsidR="2E9C7D25">
        <w:t xml:space="preserve">We are </w:t>
      </w:r>
      <w:r>
        <w:t>sensitive to the fact</w:t>
      </w:r>
      <w:r w:rsidR="2E9C7D25">
        <w:t xml:space="preserve"> that this approach </w:t>
      </w:r>
      <w:r>
        <w:t>would</w:t>
      </w:r>
      <w:r w:rsidR="00C10B39">
        <w:t xml:space="preserve"> very</w:t>
      </w:r>
      <w:r>
        <w:t xml:space="preserve"> likely </w:t>
      </w:r>
      <w:r w:rsidR="00C10B39">
        <w:t>result in</w:t>
      </w:r>
      <w:r w:rsidR="2E9C7D25">
        <w:t xml:space="preserve"> </w:t>
      </w:r>
      <w:r w:rsidR="00C10B39">
        <w:t>a revenue decrease</w:t>
      </w:r>
      <w:r w:rsidR="2E9C7D25">
        <w:t xml:space="preserve"> for the GPhC and </w:t>
      </w:r>
      <w:r w:rsidR="00C10B39">
        <w:t xml:space="preserve">would </w:t>
      </w:r>
      <w:r w:rsidR="2E9C7D25">
        <w:t>therefore suggest that the GPhC explore</w:t>
      </w:r>
      <w:r w:rsidR="00C10B39">
        <w:t xml:space="preserve"> the feasibility of such an approach and</w:t>
      </w:r>
      <w:r w:rsidR="2E9C7D25">
        <w:t xml:space="preserve"> how this could be </w:t>
      </w:r>
      <w:r w:rsidR="00C10B39">
        <w:t xml:space="preserve">potentially </w:t>
      </w:r>
      <w:r w:rsidR="2E9C7D25">
        <w:t xml:space="preserve">funded.  </w:t>
      </w:r>
    </w:p>
    <w:p w14:paraId="1EC71C7A" w14:textId="63266F73" w:rsidR="2E9C7D25" w:rsidRDefault="00CD7F76" w:rsidP="7FBFA9CB">
      <w:pPr>
        <w:spacing w:after="0"/>
      </w:pPr>
      <w:r w:rsidRPr="00CD7F76">
        <w:t>On a separate note, but pertinent to queries and concerns raised by our members through our support line</w:t>
      </w:r>
      <w:r>
        <w:t>, w</w:t>
      </w:r>
      <w:r w:rsidR="50CD579F">
        <w:t xml:space="preserve">e are also aware </w:t>
      </w:r>
      <w:r w:rsidR="00C10B39">
        <w:t xml:space="preserve">of the challenges the GPhC is experiencing </w:t>
      </w:r>
      <w:r w:rsidR="50CD579F">
        <w:t>in terms of completing</w:t>
      </w:r>
      <w:r w:rsidR="00C10B39">
        <w:t xml:space="preserve"> open</w:t>
      </w:r>
      <w:r w:rsidR="50CD579F">
        <w:t xml:space="preserve"> fitness to practice</w:t>
      </w:r>
      <w:r w:rsidR="00C10B39">
        <w:t xml:space="preserve"> (</w:t>
      </w:r>
      <w:proofErr w:type="spellStart"/>
      <w:r w:rsidR="00C10B39">
        <w:t>FtP</w:t>
      </w:r>
      <w:proofErr w:type="spellEnd"/>
      <w:r w:rsidR="00C10B39">
        <w:t>)</w:t>
      </w:r>
      <w:r w:rsidR="50CD579F">
        <w:t xml:space="preserve"> cases</w:t>
      </w:r>
      <w:r>
        <w:t>.</w:t>
      </w:r>
      <w:r w:rsidR="50CD579F">
        <w:t xml:space="preserve"> </w:t>
      </w:r>
      <w:r>
        <w:t>We note</w:t>
      </w:r>
      <w:r w:rsidR="50CD579F">
        <w:t xml:space="preserve"> that in September 2024 the Professional Standards </w:t>
      </w:r>
      <w:r w:rsidR="002743D3">
        <w:t>Authority</w:t>
      </w:r>
      <w:r w:rsidR="50CD579F">
        <w:t xml:space="preserve"> failed the GPhC on its standard for </w:t>
      </w:r>
      <w:proofErr w:type="spellStart"/>
      <w:r w:rsidR="50CD579F">
        <w:t>FtP</w:t>
      </w:r>
      <w:proofErr w:type="spellEnd"/>
      <w:r w:rsidR="50CD579F">
        <w:t xml:space="preserve"> timelines for the sixth year in a row, the main reason being the length of time to progress </w:t>
      </w:r>
      <w:proofErr w:type="spellStart"/>
      <w:r w:rsidR="50CD579F">
        <w:t>FtP</w:t>
      </w:r>
      <w:proofErr w:type="spellEnd"/>
      <w:r w:rsidR="50CD579F">
        <w:t xml:space="preserve"> investigations. Recent </w:t>
      </w:r>
      <w:hyperlink r:id="rId9">
        <w:r w:rsidR="50CD579F" w:rsidRPr="50CD579F">
          <w:rPr>
            <w:rStyle w:val="Hyperlink"/>
          </w:rPr>
          <w:t>GPhC Council papers</w:t>
        </w:r>
      </w:hyperlink>
      <w:r w:rsidR="50CD579F">
        <w:t xml:space="preserve"> state: “</w:t>
      </w:r>
      <w:r w:rsidR="50CD579F" w:rsidRPr="50CD579F">
        <w:rPr>
          <w:rFonts w:ascii="Aptos" w:eastAsia="Aptos" w:hAnsi="Aptos" w:cs="Aptos"/>
          <w:i/>
          <w:iCs/>
          <w:color w:val="000000" w:themeColor="text1"/>
        </w:rPr>
        <w:t xml:space="preserve">Our performance in regard to open cases at investigation is judged to be Red, having fallen short of our performance standard with 514 cases open in Q3 (target 474). Both of other performance standards within </w:t>
      </w:r>
      <w:proofErr w:type="spellStart"/>
      <w:r w:rsidR="50CD579F" w:rsidRPr="50CD579F">
        <w:rPr>
          <w:rFonts w:ascii="Aptos" w:eastAsia="Aptos" w:hAnsi="Aptos" w:cs="Aptos"/>
          <w:i/>
          <w:iCs/>
          <w:color w:val="000000" w:themeColor="text1"/>
        </w:rPr>
        <w:t>FtP</w:t>
      </w:r>
      <w:proofErr w:type="spellEnd"/>
      <w:r w:rsidR="50CD579F" w:rsidRPr="50CD579F">
        <w:rPr>
          <w:rFonts w:ascii="Aptos" w:eastAsia="Aptos" w:hAnsi="Aptos" w:cs="Aptos"/>
          <w:i/>
          <w:iCs/>
          <w:color w:val="000000" w:themeColor="text1"/>
        </w:rPr>
        <w:t xml:space="preserve"> are judged to be Green in Q3.”</w:t>
      </w:r>
    </w:p>
    <w:p w14:paraId="26F74790" w14:textId="25A048B5" w:rsidR="2E9C7D25" w:rsidRDefault="2E9C7D25" w:rsidP="2E9C7D25"/>
    <w:p w14:paraId="309EBD5A" w14:textId="13BD9058" w:rsidR="004B0F13" w:rsidRPr="004B0F13" w:rsidRDefault="50CD579F" w:rsidP="004B0F13">
      <w:pPr>
        <w:rPr>
          <w:lang w:val="en-US"/>
        </w:rPr>
      </w:pPr>
      <w:r>
        <w:t xml:space="preserve">Whilst we acknowledge that </w:t>
      </w:r>
      <w:proofErr w:type="spellStart"/>
      <w:r>
        <w:t>FtP</w:t>
      </w:r>
      <w:proofErr w:type="spellEnd"/>
      <w:r>
        <w:t xml:space="preserve"> cases have risen by a year-on-year increase of 30% since 2022, </w:t>
      </w:r>
      <w:r w:rsidR="00C10B39">
        <w:t>to ensure public confidence and support the wellbeing of those registrants at an extremely challenging professional and personal time, we support the prioritisation of improving this performance, ensuring resources are adequately deployed to ensure these cases are dealt with in an appropriate</w:t>
      </w:r>
      <w:r w:rsidR="002743D3">
        <w:t xml:space="preserve"> and</w:t>
      </w:r>
      <w:r w:rsidR="00C10B39">
        <w:t xml:space="preserve"> time</w:t>
      </w:r>
      <w:r w:rsidR="002743D3">
        <w:t>ly</w:t>
      </w:r>
      <w:r w:rsidR="00C10B39">
        <w:t xml:space="preserve"> manner. </w:t>
      </w:r>
    </w:p>
    <w:p w14:paraId="54D2FC3D" w14:textId="77777777" w:rsidR="004B0F13" w:rsidRPr="004B0F13" w:rsidRDefault="004B0F13" w:rsidP="004B0F13">
      <w:pPr>
        <w:rPr>
          <w:lang w:val="en-US"/>
        </w:rPr>
      </w:pPr>
    </w:p>
    <w:p w14:paraId="2AD17326" w14:textId="5B2B66B2" w:rsidR="005E72E7" w:rsidRDefault="005E72E7" w:rsidP="005E72E7">
      <w:r w:rsidRPr="005E72E7">
        <w:drawing>
          <wp:inline distT="0" distB="0" distL="0" distR="0" wp14:anchorId="07F82AE0" wp14:editId="473ADC73">
            <wp:extent cx="1593857" cy="317500"/>
            <wp:effectExtent l="0" t="0" r="6350" b="6350"/>
            <wp:docPr id="187039760" name="Picture 5" descr="A blue line drawn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9760" name="Picture 5" descr="A blue line drawn on a white surfac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1612" cy="319045"/>
                    </a:xfrm>
                    <a:prstGeom prst="rect">
                      <a:avLst/>
                    </a:prstGeom>
                    <a:noFill/>
                    <a:ln>
                      <a:noFill/>
                    </a:ln>
                  </pic:spPr>
                </pic:pic>
              </a:graphicData>
            </a:graphic>
          </wp:inline>
        </w:drawing>
      </w:r>
      <w:r w:rsidR="00AC0CF5">
        <w:tab/>
      </w:r>
      <w:r w:rsidR="00AC0CF5" w:rsidRPr="00AC0CF5">
        <w:drawing>
          <wp:inline distT="0" distB="0" distL="0" distR="0" wp14:anchorId="27141780" wp14:editId="2B0F9554">
            <wp:extent cx="865061" cy="812800"/>
            <wp:effectExtent l="0" t="0" r="0" b="6350"/>
            <wp:docPr id="1080216598" name="Picture 7" descr="A handwritten letter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16598" name="Picture 7" descr="A handwritten letter on a white surfac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874451" cy="821623"/>
                    </a:xfrm>
                    <a:prstGeom prst="rect">
                      <a:avLst/>
                    </a:prstGeom>
                    <a:noFill/>
                    <a:ln>
                      <a:noFill/>
                    </a:ln>
                  </pic:spPr>
                </pic:pic>
              </a:graphicData>
            </a:graphic>
          </wp:inline>
        </w:drawing>
      </w:r>
      <w:r w:rsidR="00AC0CF5">
        <w:tab/>
      </w:r>
      <w:r w:rsidR="00AC0CF5">
        <w:tab/>
      </w:r>
      <w:r w:rsidR="00AC0CF5">
        <w:tab/>
      </w:r>
      <w:r w:rsidRPr="005E72E7">
        <w:drawing>
          <wp:inline distT="0" distB="0" distL="0" distR="0" wp14:anchorId="0DBD1B6A" wp14:editId="59CA76C2">
            <wp:extent cx="1064660" cy="571500"/>
            <wp:effectExtent l="0" t="0" r="2540" b="0"/>
            <wp:docPr id="1007208816" name="Picture 3" descr="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08816" name="Picture 3" descr="Close-up of a signatu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2426" cy="575669"/>
                    </a:xfrm>
                    <a:prstGeom prst="rect">
                      <a:avLst/>
                    </a:prstGeom>
                    <a:noFill/>
                    <a:ln>
                      <a:noFill/>
                    </a:ln>
                  </pic:spPr>
                </pic:pic>
              </a:graphicData>
            </a:graphic>
          </wp:inline>
        </w:drawing>
      </w:r>
      <w:r>
        <w:tab/>
      </w:r>
    </w:p>
    <w:p w14:paraId="0E983557" w14:textId="0DBA7236" w:rsidR="005E72E7" w:rsidRPr="005E72E7" w:rsidRDefault="005E72E7" w:rsidP="005E72E7">
      <w:pPr>
        <w:rPr>
          <w:sz w:val="20"/>
          <w:szCs w:val="20"/>
        </w:rPr>
      </w:pPr>
      <w:r w:rsidRPr="005E72E7">
        <w:rPr>
          <w:sz w:val="20"/>
          <w:szCs w:val="20"/>
        </w:rPr>
        <w:t>Tase Oputu</w:t>
      </w:r>
      <w:r>
        <w:rPr>
          <w:sz w:val="20"/>
          <w:szCs w:val="20"/>
        </w:rPr>
        <w:tab/>
      </w:r>
      <w:r w:rsidR="00AC0CF5">
        <w:rPr>
          <w:sz w:val="20"/>
          <w:szCs w:val="20"/>
        </w:rPr>
        <w:tab/>
      </w:r>
      <w:r w:rsidR="00AC0CF5">
        <w:rPr>
          <w:sz w:val="20"/>
          <w:szCs w:val="20"/>
        </w:rPr>
        <w:tab/>
        <w:t>Jonathan Burton</w:t>
      </w:r>
      <w:r w:rsidR="00AC0CF5">
        <w:rPr>
          <w:sz w:val="20"/>
          <w:szCs w:val="20"/>
        </w:rPr>
        <w:tab/>
      </w:r>
      <w:r w:rsidR="00AC0CF5">
        <w:rPr>
          <w:sz w:val="20"/>
          <w:szCs w:val="20"/>
        </w:rPr>
        <w:tab/>
      </w:r>
      <w:r w:rsidR="00AC0CF5">
        <w:rPr>
          <w:sz w:val="20"/>
          <w:szCs w:val="20"/>
        </w:rPr>
        <w:tab/>
      </w:r>
      <w:r>
        <w:rPr>
          <w:sz w:val="20"/>
          <w:szCs w:val="20"/>
        </w:rPr>
        <w:t xml:space="preserve">Geraldine </w:t>
      </w:r>
      <w:proofErr w:type="spellStart"/>
      <w:r>
        <w:rPr>
          <w:sz w:val="20"/>
          <w:szCs w:val="20"/>
        </w:rPr>
        <w:t>McCaffey</w:t>
      </w:r>
      <w:proofErr w:type="spellEnd"/>
    </w:p>
    <w:p w14:paraId="4A4ACE0D" w14:textId="44BC46ED" w:rsidR="005E72E7" w:rsidRPr="005E72E7" w:rsidRDefault="005E72E7" w:rsidP="005E72E7">
      <w:pPr>
        <w:rPr>
          <w:sz w:val="20"/>
          <w:szCs w:val="20"/>
        </w:rPr>
      </w:pPr>
      <w:r w:rsidRPr="005E72E7">
        <w:rPr>
          <w:sz w:val="20"/>
          <w:szCs w:val="20"/>
        </w:rPr>
        <w:t>Chair, English Pharmacy Board</w:t>
      </w:r>
      <w:r w:rsidR="00AC0CF5">
        <w:rPr>
          <w:sz w:val="20"/>
          <w:szCs w:val="20"/>
        </w:rPr>
        <w:tab/>
        <w:t>Chair, Scottish Pharmacy Board</w:t>
      </w:r>
      <w:r w:rsidR="00AC0CF5">
        <w:rPr>
          <w:sz w:val="20"/>
          <w:szCs w:val="20"/>
        </w:rPr>
        <w:tab/>
      </w:r>
      <w:r>
        <w:rPr>
          <w:sz w:val="20"/>
          <w:szCs w:val="20"/>
        </w:rPr>
        <w:t>Chair, Welsh Pharmacy Board</w:t>
      </w:r>
    </w:p>
    <w:p w14:paraId="7DE4731C" w14:textId="77777777" w:rsidR="005E72E7" w:rsidRDefault="005E72E7"/>
    <w:p w14:paraId="47A0C2BE" w14:textId="182F2EF5" w:rsidR="50CD579F" w:rsidRDefault="50CD579F" w:rsidP="50CD579F"/>
    <w:sectPr w:rsidR="50CD57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969F" w14:textId="77777777" w:rsidR="00EB0557" w:rsidRDefault="00EB0557" w:rsidP="004B0F13">
      <w:pPr>
        <w:spacing w:after="0" w:line="240" w:lineRule="auto"/>
      </w:pPr>
      <w:r>
        <w:separator/>
      </w:r>
    </w:p>
  </w:endnote>
  <w:endnote w:type="continuationSeparator" w:id="0">
    <w:p w14:paraId="5624AD23" w14:textId="77777777" w:rsidR="00EB0557" w:rsidRDefault="00EB0557" w:rsidP="004B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6A89" w14:textId="77777777" w:rsidR="00EB0557" w:rsidRDefault="00EB0557" w:rsidP="004B0F13">
      <w:pPr>
        <w:spacing w:after="0" w:line="240" w:lineRule="auto"/>
      </w:pPr>
      <w:r>
        <w:separator/>
      </w:r>
    </w:p>
  </w:footnote>
  <w:footnote w:type="continuationSeparator" w:id="0">
    <w:p w14:paraId="6A586500" w14:textId="77777777" w:rsidR="00EB0557" w:rsidRDefault="00EB0557" w:rsidP="004B0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72F5"/>
    <w:multiLevelType w:val="hybridMultilevel"/>
    <w:tmpl w:val="F6BC2A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F6C1E20"/>
    <w:multiLevelType w:val="hybridMultilevel"/>
    <w:tmpl w:val="B74A2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EE93C95"/>
    <w:multiLevelType w:val="hybridMultilevel"/>
    <w:tmpl w:val="9F1EC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02A4C7A"/>
    <w:multiLevelType w:val="hybridMultilevel"/>
    <w:tmpl w:val="B7164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787655"/>
    <w:multiLevelType w:val="hybridMultilevel"/>
    <w:tmpl w:val="CE40E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79893984">
    <w:abstractNumId w:val="3"/>
  </w:num>
  <w:num w:numId="2" w16cid:durableId="615140462">
    <w:abstractNumId w:val="2"/>
  </w:num>
  <w:num w:numId="3" w16cid:durableId="1934389340">
    <w:abstractNumId w:val="1"/>
  </w:num>
  <w:num w:numId="4" w16cid:durableId="418217254">
    <w:abstractNumId w:val="4"/>
  </w:num>
  <w:num w:numId="5" w16cid:durableId="9826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C0"/>
    <w:rsid w:val="000227BC"/>
    <w:rsid w:val="001552BD"/>
    <w:rsid w:val="0025255B"/>
    <w:rsid w:val="002743D3"/>
    <w:rsid w:val="00313601"/>
    <w:rsid w:val="0033381B"/>
    <w:rsid w:val="003642AB"/>
    <w:rsid w:val="00422087"/>
    <w:rsid w:val="004B0F13"/>
    <w:rsid w:val="004E4AF9"/>
    <w:rsid w:val="00555DC3"/>
    <w:rsid w:val="00585D9E"/>
    <w:rsid w:val="005E72E7"/>
    <w:rsid w:val="005F6E72"/>
    <w:rsid w:val="0069734F"/>
    <w:rsid w:val="00755EC0"/>
    <w:rsid w:val="007B45B8"/>
    <w:rsid w:val="007D0A95"/>
    <w:rsid w:val="009233F9"/>
    <w:rsid w:val="0093276D"/>
    <w:rsid w:val="00AC0CF5"/>
    <w:rsid w:val="00B14AAB"/>
    <w:rsid w:val="00BF7FE4"/>
    <w:rsid w:val="00C10B39"/>
    <w:rsid w:val="00CD7F76"/>
    <w:rsid w:val="00D55F5C"/>
    <w:rsid w:val="00E17E4E"/>
    <w:rsid w:val="00E65899"/>
    <w:rsid w:val="00EB0557"/>
    <w:rsid w:val="00FE420D"/>
    <w:rsid w:val="2E9C7D25"/>
    <w:rsid w:val="50CD579F"/>
    <w:rsid w:val="7FBFA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F02A"/>
  <w15:chartTrackingRefBased/>
  <w15:docId w15:val="{BF2E2BBA-902F-4C46-B718-90D3ABAD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E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E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E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E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EC0"/>
    <w:rPr>
      <w:rFonts w:eastAsiaTheme="majorEastAsia" w:cstheme="majorBidi"/>
      <w:color w:val="272727" w:themeColor="text1" w:themeTint="D8"/>
    </w:rPr>
  </w:style>
  <w:style w:type="paragraph" w:styleId="Title">
    <w:name w:val="Title"/>
    <w:basedOn w:val="Normal"/>
    <w:next w:val="Normal"/>
    <w:link w:val="TitleChar"/>
    <w:uiPriority w:val="10"/>
    <w:qFormat/>
    <w:rsid w:val="00755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EC0"/>
    <w:pPr>
      <w:spacing w:before="160"/>
      <w:jc w:val="center"/>
    </w:pPr>
    <w:rPr>
      <w:i/>
      <w:iCs/>
      <w:color w:val="404040" w:themeColor="text1" w:themeTint="BF"/>
    </w:rPr>
  </w:style>
  <w:style w:type="character" w:customStyle="1" w:styleId="QuoteChar">
    <w:name w:val="Quote Char"/>
    <w:basedOn w:val="DefaultParagraphFont"/>
    <w:link w:val="Quote"/>
    <w:uiPriority w:val="29"/>
    <w:rsid w:val="00755EC0"/>
    <w:rPr>
      <w:i/>
      <w:iCs/>
      <w:color w:val="404040" w:themeColor="text1" w:themeTint="BF"/>
    </w:rPr>
  </w:style>
  <w:style w:type="paragraph" w:styleId="ListParagraph">
    <w:name w:val="List Paragraph"/>
    <w:basedOn w:val="Normal"/>
    <w:uiPriority w:val="34"/>
    <w:qFormat/>
    <w:rsid w:val="00755EC0"/>
    <w:pPr>
      <w:ind w:left="720"/>
      <w:contextualSpacing/>
    </w:pPr>
  </w:style>
  <w:style w:type="character" w:styleId="IntenseEmphasis">
    <w:name w:val="Intense Emphasis"/>
    <w:basedOn w:val="DefaultParagraphFont"/>
    <w:uiPriority w:val="21"/>
    <w:qFormat/>
    <w:rsid w:val="00755EC0"/>
    <w:rPr>
      <w:i/>
      <w:iCs/>
      <w:color w:val="0F4761" w:themeColor="accent1" w:themeShade="BF"/>
    </w:rPr>
  </w:style>
  <w:style w:type="paragraph" w:styleId="IntenseQuote">
    <w:name w:val="Intense Quote"/>
    <w:basedOn w:val="Normal"/>
    <w:next w:val="Normal"/>
    <w:link w:val="IntenseQuoteChar"/>
    <w:uiPriority w:val="30"/>
    <w:qFormat/>
    <w:rsid w:val="00755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EC0"/>
    <w:rPr>
      <w:i/>
      <w:iCs/>
      <w:color w:val="0F4761" w:themeColor="accent1" w:themeShade="BF"/>
    </w:rPr>
  </w:style>
  <w:style w:type="character" w:styleId="IntenseReference">
    <w:name w:val="Intense Reference"/>
    <w:basedOn w:val="DefaultParagraphFont"/>
    <w:uiPriority w:val="32"/>
    <w:qFormat/>
    <w:rsid w:val="00755EC0"/>
    <w:rPr>
      <w:b/>
      <w:bCs/>
      <w:smallCaps/>
      <w:color w:val="0F4761" w:themeColor="accent1" w:themeShade="BF"/>
      <w:spacing w:val="5"/>
    </w:rPr>
  </w:style>
  <w:style w:type="paragraph" w:styleId="FootnoteText">
    <w:name w:val="footnote text"/>
    <w:basedOn w:val="Normal"/>
    <w:link w:val="FootnoteTextChar"/>
    <w:uiPriority w:val="99"/>
    <w:semiHidden/>
    <w:unhideWhenUsed/>
    <w:rsid w:val="004B0F13"/>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4B0F1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4B0F13"/>
    <w:rPr>
      <w:vertAlign w:val="superscript"/>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4E4AF9"/>
    <w:pPr>
      <w:spacing w:after="0" w:line="240" w:lineRule="auto"/>
    </w:pPr>
  </w:style>
  <w:style w:type="character" w:styleId="UnresolvedMention">
    <w:name w:val="Unresolved Mention"/>
    <w:basedOn w:val="DefaultParagraphFont"/>
    <w:uiPriority w:val="99"/>
    <w:semiHidden/>
    <w:unhideWhenUsed/>
    <w:rsid w:val="00E17E4E"/>
    <w:rPr>
      <w:color w:val="605E5C"/>
      <w:shd w:val="clear" w:color="auto" w:fill="E1DFDD"/>
    </w:rPr>
  </w:style>
  <w:style w:type="character" w:styleId="FollowedHyperlink">
    <w:name w:val="FollowedHyperlink"/>
    <w:basedOn w:val="DefaultParagraphFont"/>
    <w:uiPriority w:val="99"/>
    <w:semiHidden/>
    <w:unhideWhenUsed/>
    <w:rsid w:val="005E72E7"/>
    <w:rPr>
      <w:color w:val="96607D" w:themeColor="followedHyperlink"/>
      <w:u w:val="single"/>
    </w:rPr>
  </w:style>
  <w:style w:type="paragraph" w:styleId="NormalWeb">
    <w:name w:val="Normal (Web)"/>
    <w:basedOn w:val="Normal"/>
    <w:uiPriority w:val="99"/>
    <w:semiHidden/>
    <w:unhideWhenUsed/>
    <w:rsid w:val="00AC0C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2838">
      <w:bodyDiv w:val="1"/>
      <w:marLeft w:val="0"/>
      <w:marRight w:val="0"/>
      <w:marTop w:val="0"/>
      <w:marBottom w:val="0"/>
      <w:divBdr>
        <w:top w:val="none" w:sz="0" w:space="0" w:color="auto"/>
        <w:left w:val="none" w:sz="0" w:space="0" w:color="auto"/>
        <w:bottom w:val="none" w:sz="0" w:space="0" w:color="auto"/>
        <w:right w:val="none" w:sz="0" w:space="0" w:color="auto"/>
      </w:divBdr>
    </w:div>
    <w:div w:id="347680160">
      <w:bodyDiv w:val="1"/>
      <w:marLeft w:val="0"/>
      <w:marRight w:val="0"/>
      <w:marTop w:val="0"/>
      <w:marBottom w:val="0"/>
      <w:divBdr>
        <w:top w:val="none" w:sz="0" w:space="0" w:color="auto"/>
        <w:left w:val="none" w:sz="0" w:space="0" w:color="auto"/>
        <w:bottom w:val="none" w:sz="0" w:space="0" w:color="auto"/>
        <w:right w:val="none" w:sz="0" w:space="0" w:color="auto"/>
      </w:divBdr>
    </w:div>
    <w:div w:id="544414411">
      <w:bodyDiv w:val="1"/>
      <w:marLeft w:val="0"/>
      <w:marRight w:val="0"/>
      <w:marTop w:val="0"/>
      <w:marBottom w:val="0"/>
      <w:divBdr>
        <w:top w:val="none" w:sz="0" w:space="0" w:color="auto"/>
        <w:left w:val="none" w:sz="0" w:space="0" w:color="auto"/>
        <w:bottom w:val="none" w:sz="0" w:space="0" w:color="auto"/>
        <w:right w:val="none" w:sz="0" w:space="0" w:color="auto"/>
      </w:divBdr>
    </w:div>
    <w:div w:id="664434103">
      <w:bodyDiv w:val="1"/>
      <w:marLeft w:val="0"/>
      <w:marRight w:val="0"/>
      <w:marTop w:val="0"/>
      <w:marBottom w:val="0"/>
      <w:divBdr>
        <w:top w:val="none" w:sz="0" w:space="0" w:color="auto"/>
        <w:left w:val="none" w:sz="0" w:space="0" w:color="auto"/>
        <w:bottom w:val="none" w:sz="0" w:space="0" w:color="auto"/>
        <w:right w:val="none" w:sz="0" w:space="0" w:color="auto"/>
      </w:divBdr>
    </w:div>
    <w:div w:id="726344160">
      <w:bodyDiv w:val="1"/>
      <w:marLeft w:val="0"/>
      <w:marRight w:val="0"/>
      <w:marTop w:val="0"/>
      <w:marBottom w:val="0"/>
      <w:divBdr>
        <w:top w:val="none" w:sz="0" w:space="0" w:color="auto"/>
        <w:left w:val="none" w:sz="0" w:space="0" w:color="auto"/>
        <w:bottom w:val="none" w:sz="0" w:space="0" w:color="auto"/>
        <w:right w:val="none" w:sz="0" w:space="0" w:color="auto"/>
      </w:divBdr>
    </w:div>
    <w:div w:id="1002780779">
      <w:bodyDiv w:val="1"/>
      <w:marLeft w:val="0"/>
      <w:marRight w:val="0"/>
      <w:marTop w:val="0"/>
      <w:marBottom w:val="0"/>
      <w:divBdr>
        <w:top w:val="none" w:sz="0" w:space="0" w:color="auto"/>
        <w:left w:val="none" w:sz="0" w:space="0" w:color="auto"/>
        <w:bottom w:val="none" w:sz="0" w:space="0" w:color="auto"/>
        <w:right w:val="none" w:sz="0" w:space="0" w:color="auto"/>
      </w:divBdr>
    </w:div>
    <w:div w:id="1239679267">
      <w:bodyDiv w:val="1"/>
      <w:marLeft w:val="0"/>
      <w:marRight w:val="0"/>
      <w:marTop w:val="0"/>
      <w:marBottom w:val="0"/>
      <w:divBdr>
        <w:top w:val="none" w:sz="0" w:space="0" w:color="auto"/>
        <w:left w:val="none" w:sz="0" w:space="0" w:color="auto"/>
        <w:bottom w:val="none" w:sz="0" w:space="0" w:color="auto"/>
        <w:right w:val="none" w:sz="0" w:space="0" w:color="auto"/>
      </w:divBdr>
    </w:div>
    <w:div w:id="19597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economy/inflationandpriceind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harmacyregulation.org/about-us/getting-involved/meetings-and-events/council-meeting-20-february-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6</cp:revision>
  <dcterms:created xsi:type="dcterms:W3CDTF">2025-04-15T16:08:00Z</dcterms:created>
  <dcterms:modified xsi:type="dcterms:W3CDTF">2025-04-16T07:58:00Z</dcterms:modified>
</cp:coreProperties>
</file>