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9D90" w14:textId="61906945" w:rsidR="00017880" w:rsidRPr="001926F3" w:rsidRDefault="001926F3" w:rsidP="001926F3">
      <w:pPr>
        <w:pStyle w:val="Heading1"/>
        <w:jc w:val="center"/>
        <w:rPr>
          <w:sz w:val="24"/>
          <w:szCs w:val="24"/>
        </w:rPr>
      </w:pPr>
      <w:r w:rsidRPr="001926F3">
        <w:rPr>
          <w:sz w:val="24"/>
          <w:szCs w:val="24"/>
        </w:rPr>
        <w:t xml:space="preserve">MHRA </w:t>
      </w:r>
      <w:r w:rsidR="00017880" w:rsidRPr="001926F3">
        <w:rPr>
          <w:sz w:val="24"/>
          <w:szCs w:val="24"/>
        </w:rPr>
        <w:t>Consultation survey - draft guideline on individualised mRNA cancer</w:t>
      </w:r>
      <w:r>
        <w:rPr>
          <w:sz w:val="24"/>
          <w:szCs w:val="24"/>
        </w:rPr>
        <w:t xml:space="preserve"> </w:t>
      </w:r>
      <w:r w:rsidRPr="001926F3">
        <w:rPr>
          <w:sz w:val="24"/>
          <w:szCs w:val="24"/>
        </w:rPr>
        <w:t>im</w:t>
      </w:r>
      <w:r w:rsidR="00017880" w:rsidRPr="001926F3">
        <w:rPr>
          <w:sz w:val="24"/>
          <w:szCs w:val="24"/>
        </w:rPr>
        <w:t>munotherapies</w:t>
      </w:r>
    </w:p>
    <w:p w14:paraId="74A0400F" w14:textId="3C36F249" w:rsidR="001926F3" w:rsidRPr="001926F3" w:rsidRDefault="001926F3" w:rsidP="001926F3">
      <w:pPr>
        <w:pStyle w:val="ParagraphText"/>
        <w:jc w:val="center"/>
        <w:rPr>
          <w:b/>
          <w:lang w:eastAsia="en-GB"/>
        </w:rPr>
      </w:pPr>
      <w:r w:rsidRPr="001926F3">
        <w:rPr>
          <w:b/>
          <w:lang w:eastAsia="en-GB"/>
        </w:rPr>
        <w:t>Royal Pharmaceutical Society response</w:t>
      </w:r>
    </w:p>
    <w:p w14:paraId="41B3DD1F" w14:textId="50FB3481" w:rsidR="00017880" w:rsidRPr="00BC0E70" w:rsidRDefault="00017880" w:rsidP="00017880">
      <w:pPr>
        <w:pStyle w:val="IntenseQuote"/>
      </w:pPr>
      <w:r w:rsidRPr="00017880">
        <w:t xml:space="preserve">The consultation </w:t>
      </w:r>
      <w:r w:rsidR="001926F3">
        <w:t xml:space="preserve">was </w:t>
      </w:r>
      <w:r w:rsidRPr="00017880">
        <w:t>completed using the</w:t>
      </w:r>
      <w:r>
        <w:t xml:space="preserve"> </w:t>
      </w:r>
      <w:r w:rsidRPr="001926F3">
        <w:t>online consultation survey</w:t>
      </w:r>
      <w:r>
        <w:t>.</w:t>
      </w:r>
    </w:p>
    <w:p w14:paraId="33E8A970" w14:textId="77777777" w:rsidR="00017880" w:rsidRPr="0030313B" w:rsidRDefault="00017880" w:rsidP="00017880">
      <w:pPr>
        <w:rPr>
          <w:b/>
          <w:bCs/>
          <w:u w:val="single"/>
        </w:rPr>
      </w:pPr>
      <w:r w:rsidRPr="0030313B">
        <w:rPr>
          <w:b/>
          <w:bCs/>
          <w:u w:val="single"/>
        </w:rPr>
        <w:t>Regulatory principles</w:t>
      </w:r>
    </w:p>
    <w:p w14:paraId="6C2AF52A" w14:textId="77777777" w:rsidR="008C42F5" w:rsidRDefault="00017880" w:rsidP="00017880">
      <w:pPr>
        <w:pStyle w:val="ListParagraph"/>
        <w:numPr>
          <w:ilvl w:val="0"/>
          <w:numId w:val="34"/>
        </w:numPr>
      </w:pPr>
      <w:r w:rsidRPr="0046318F">
        <w:t>Do you agree or disagree with the regulatory principles outlined in section 2 of the draft guidance?</w:t>
      </w:r>
    </w:p>
    <w:p w14:paraId="7FB8FE88" w14:textId="38C5FE82" w:rsidR="00017880" w:rsidRDefault="008C42F5" w:rsidP="008C42F5">
      <w:pPr>
        <w:pStyle w:val="ListParagraph"/>
        <w:rPr>
          <w:color w:val="0070C0"/>
        </w:rPr>
      </w:pPr>
      <w:r w:rsidRPr="008C42F5">
        <w:rPr>
          <w:color w:val="0070C0"/>
        </w:rPr>
        <w:t>Yes</w:t>
      </w:r>
      <w:r w:rsidR="00017880" w:rsidRPr="008C42F5">
        <w:rPr>
          <w:color w:val="0070C0"/>
        </w:rPr>
        <w:t xml:space="preserve"> </w:t>
      </w:r>
    </w:p>
    <w:p w14:paraId="161534FE" w14:textId="77777777" w:rsidR="001926F3" w:rsidRPr="008C42F5" w:rsidRDefault="001926F3" w:rsidP="008C42F5">
      <w:pPr>
        <w:pStyle w:val="ListParagraph"/>
        <w:rPr>
          <w:color w:val="0070C0"/>
        </w:rPr>
      </w:pPr>
    </w:p>
    <w:p w14:paraId="7709A73B" w14:textId="77777777" w:rsidR="00017880" w:rsidRDefault="00017880" w:rsidP="00017880">
      <w:pPr>
        <w:pStyle w:val="ListParagraph"/>
        <w:numPr>
          <w:ilvl w:val="0"/>
          <w:numId w:val="34"/>
        </w:numPr>
      </w:pPr>
      <w:r w:rsidRPr="0046318F">
        <w:t>The MHRA envisages that in specific circumstances, a highly personalised medicine could be issued with a single marketing authorisation, even where there is a variable component that is tailored to an individual patient’s characteristics. Please provide any comments you may have on this approach, and any suggestions for alternative regulatory approaches.</w:t>
      </w:r>
    </w:p>
    <w:p w14:paraId="2CCC9A87" w14:textId="67730AAD" w:rsidR="008C42F5" w:rsidRDefault="001926F3" w:rsidP="008C42F5">
      <w:pPr>
        <w:pStyle w:val="ListParagraph"/>
        <w:rPr>
          <w:color w:val="0070C0"/>
        </w:rPr>
      </w:pPr>
      <w:r>
        <w:rPr>
          <w:color w:val="0070C0"/>
        </w:rPr>
        <w:t>We</w:t>
      </w:r>
      <w:r w:rsidR="008C42F5" w:rsidRPr="008C42F5">
        <w:rPr>
          <w:color w:val="0070C0"/>
        </w:rPr>
        <w:t xml:space="preserve"> agree with this </w:t>
      </w:r>
      <w:proofErr w:type="gramStart"/>
      <w:r w:rsidR="008C42F5" w:rsidRPr="008C42F5">
        <w:rPr>
          <w:color w:val="0070C0"/>
        </w:rPr>
        <w:t>approach</w:t>
      </w:r>
      <w:proofErr w:type="gramEnd"/>
      <w:r w:rsidR="008C42F5" w:rsidRPr="008C42F5">
        <w:rPr>
          <w:color w:val="0070C0"/>
        </w:rPr>
        <w:t xml:space="preserve"> and it is in alignment</w:t>
      </w:r>
      <w:r w:rsidR="00090C5C">
        <w:rPr>
          <w:color w:val="0070C0"/>
        </w:rPr>
        <w:t>,</w:t>
      </w:r>
      <w:r w:rsidR="009A1A3F">
        <w:rPr>
          <w:color w:val="0070C0"/>
        </w:rPr>
        <w:t xml:space="preserve"> in some aspects</w:t>
      </w:r>
      <w:r w:rsidR="00090C5C">
        <w:rPr>
          <w:color w:val="0070C0"/>
        </w:rPr>
        <w:t>,</w:t>
      </w:r>
      <w:r w:rsidR="008C42F5" w:rsidRPr="008C42F5">
        <w:rPr>
          <w:color w:val="0070C0"/>
        </w:rPr>
        <w:t xml:space="preserve"> with regulatory approaches for other personalised medicines such as CAR T cells</w:t>
      </w:r>
      <w:r w:rsidR="009A1A3F">
        <w:rPr>
          <w:color w:val="0070C0"/>
        </w:rPr>
        <w:t xml:space="preserve">, which are based on an individual’s cells. </w:t>
      </w:r>
      <w:r w:rsidR="00B8632D">
        <w:rPr>
          <w:color w:val="0070C0"/>
        </w:rPr>
        <w:t xml:space="preserve"> A departure from an overarching MA would likely cause delays in access for patients.</w:t>
      </w:r>
    </w:p>
    <w:p w14:paraId="5195EB67" w14:textId="77777777" w:rsidR="001926F3" w:rsidRPr="008C42F5" w:rsidRDefault="001926F3" w:rsidP="008C42F5">
      <w:pPr>
        <w:pStyle w:val="ListParagraph"/>
        <w:rPr>
          <w:color w:val="0070C0"/>
        </w:rPr>
      </w:pPr>
    </w:p>
    <w:p w14:paraId="48617E24" w14:textId="77777777" w:rsidR="00017880" w:rsidRDefault="00017880" w:rsidP="00017880">
      <w:pPr>
        <w:pStyle w:val="ListParagraph"/>
        <w:numPr>
          <w:ilvl w:val="0"/>
          <w:numId w:val="34"/>
        </w:numPr>
      </w:pPr>
      <w:r w:rsidRPr="0046318F">
        <w:t>The individualised mRNA cancer immunotherapies are currently classified as Advanced Therapy Medicinal Products (ATMPs), and subclassified as gene therapies. The MHRA acknowledges that the mechanism of action of such therapies is not genome modifying. </w:t>
      </w:r>
    </w:p>
    <w:p w14:paraId="5F3100B8" w14:textId="77777777" w:rsidR="00017880" w:rsidRDefault="00017880" w:rsidP="00017880">
      <w:pPr>
        <w:pStyle w:val="ListParagraph"/>
        <w:numPr>
          <w:ilvl w:val="1"/>
          <w:numId w:val="34"/>
        </w:numPr>
      </w:pPr>
      <w:r w:rsidRPr="0046318F">
        <w:t xml:space="preserve">What are the advantages of such a classification for these therapies across the </w:t>
      </w:r>
      <w:proofErr w:type="gramStart"/>
      <w:r w:rsidRPr="0046318F">
        <w:t>life-cycle</w:t>
      </w:r>
      <w:proofErr w:type="gramEnd"/>
      <w:r w:rsidRPr="0046318F">
        <w:t xml:space="preserve"> of the product and across different stakeholders?</w:t>
      </w:r>
    </w:p>
    <w:p w14:paraId="652D7A34" w14:textId="13AE7B8A" w:rsidR="006C48AD" w:rsidRPr="006C48AD" w:rsidRDefault="006C48AD" w:rsidP="006C48AD">
      <w:pPr>
        <w:pStyle w:val="ListParagraph"/>
        <w:ind w:left="1440"/>
        <w:rPr>
          <w:color w:val="0070C0"/>
        </w:rPr>
      </w:pPr>
      <w:r>
        <w:rPr>
          <w:color w:val="0070C0"/>
        </w:rPr>
        <w:t xml:space="preserve">It </w:t>
      </w:r>
      <w:r w:rsidR="00B8632D" w:rsidRPr="006C48AD">
        <w:rPr>
          <w:color w:val="0070C0"/>
        </w:rPr>
        <w:t>requires a more</w:t>
      </w:r>
      <w:r>
        <w:rPr>
          <w:color w:val="0070C0"/>
        </w:rPr>
        <w:t xml:space="preserve"> formal and</w:t>
      </w:r>
      <w:r w:rsidR="00B8632D" w:rsidRPr="006C48AD">
        <w:rPr>
          <w:color w:val="0070C0"/>
        </w:rPr>
        <w:t xml:space="preserve"> </w:t>
      </w:r>
      <w:proofErr w:type="gramStart"/>
      <w:r w:rsidR="00B8632D" w:rsidRPr="006C48AD">
        <w:rPr>
          <w:color w:val="0070C0"/>
        </w:rPr>
        <w:t>in depth</w:t>
      </w:r>
      <w:proofErr w:type="gramEnd"/>
      <w:r w:rsidR="00B8632D" w:rsidRPr="006C48AD">
        <w:rPr>
          <w:color w:val="0070C0"/>
        </w:rPr>
        <w:t xml:space="preserve"> review</w:t>
      </w:r>
      <w:r>
        <w:rPr>
          <w:color w:val="0070C0"/>
        </w:rPr>
        <w:t xml:space="preserve"> and assessment</w:t>
      </w:r>
      <w:r w:rsidR="00B8632D" w:rsidRPr="006C48AD">
        <w:rPr>
          <w:color w:val="0070C0"/>
        </w:rPr>
        <w:t xml:space="preserve"> of implementation</w:t>
      </w:r>
      <w:r>
        <w:rPr>
          <w:color w:val="0070C0"/>
        </w:rPr>
        <w:t xml:space="preserve"> processes</w:t>
      </w:r>
      <w:r w:rsidR="00B8632D" w:rsidRPr="006C48AD">
        <w:rPr>
          <w:color w:val="0070C0"/>
        </w:rPr>
        <w:t xml:space="preserve"> from providers</w:t>
      </w:r>
      <w:r w:rsidR="003B4F95">
        <w:rPr>
          <w:color w:val="0070C0"/>
        </w:rPr>
        <w:t>,</w:t>
      </w:r>
      <w:r>
        <w:rPr>
          <w:color w:val="0070C0"/>
        </w:rPr>
        <w:t xml:space="preserve"> than traditional medicines.  Although these are not genetically modified products, as </w:t>
      </w:r>
      <w:r w:rsidR="003B4F95">
        <w:rPr>
          <w:color w:val="0070C0"/>
        </w:rPr>
        <w:t xml:space="preserve">they are </w:t>
      </w:r>
      <w:r>
        <w:rPr>
          <w:color w:val="0070C0"/>
        </w:rPr>
        <w:t xml:space="preserve">personalised medicines and ATMPs, there are important considerations for providers concerning chain of </w:t>
      </w:r>
      <w:r w:rsidR="00B31495">
        <w:rPr>
          <w:color w:val="0070C0"/>
        </w:rPr>
        <w:t>identification</w:t>
      </w:r>
      <w:r w:rsidR="003B4F95">
        <w:rPr>
          <w:color w:val="0070C0"/>
        </w:rPr>
        <w:t>/</w:t>
      </w:r>
      <w:r>
        <w:rPr>
          <w:color w:val="0070C0"/>
        </w:rPr>
        <w:t>custody and transportation, storage and handling requirements.</w:t>
      </w:r>
      <w:r w:rsidR="003B4F95">
        <w:rPr>
          <w:color w:val="0070C0"/>
        </w:rPr>
        <w:t xml:space="preserve">  Failure to comply with these parameters could potentially compromise patient safety and product efficacy.</w:t>
      </w:r>
      <w:r>
        <w:rPr>
          <w:color w:val="0070C0"/>
        </w:rPr>
        <w:t xml:space="preserve">  The classification as an ATMP helps strengthen governance processes for these</w:t>
      </w:r>
      <w:r w:rsidR="003B4F95">
        <w:rPr>
          <w:color w:val="0070C0"/>
        </w:rPr>
        <w:t xml:space="preserve"> parameters</w:t>
      </w:r>
      <w:r>
        <w:rPr>
          <w:color w:val="0070C0"/>
        </w:rPr>
        <w:t>.</w:t>
      </w:r>
    </w:p>
    <w:p w14:paraId="4DF37869" w14:textId="5FD5C0ED" w:rsidR="006C48AD" w:rsidRPr="006C48AD" w:rsidRDefault="006C48AD" w:rsidP="006C48AD">
      <w:pPr>
        <w:pStyle w:val="ListParagraph"/>
        <w:ind w:left="1440"/>
        <w:rPr>
          <w:color w:val="0070C0"/>
        </w:rPr>
      </w:pPr>
    </w:p>
    <w:p w14:paraId="75F58448" w14:textId="77777777" w:rsidR="00017880" w:rsidRDefault="00017880" w:rsidP="00017880">
      <w:pPr>
        <w:pStyle w:val="ListParagraph"/>
        <w:numPr>
          <w:ilvl w:val="1"/>
          <w:numId w:val="34"/>
        </w:numPr>
      </w:pPr>
      <w:r w:rsidRPr="0046318F">
        <w:t xml:space="preserve">What are the disadvantages of such a classification for these therapies across the </w:t>
      </w:r>
      <w:proofErr w:type="gramStart"/>
      <w:r w:rsidRPr="0046318F">
        <w:t>life-cycle</w:t>
      </w:r>
      <w:proofErr w:type="gramEnd"/>
      <w:r w:rsidRPr="0046318F">
        <w:t xml:space="preserve"> of the product and across different stakeholders?</w:t>
      </w:r>
    </w:p>
    <w:p w14:paraId="36EFE8B7" w14:textId="3E590D6A" w:rsidR="008C42F5" w:rsidRDefault="00903003" w:rsidP="006A718E">
      <w:pPr>
        <w:pStyle w:val="ListParagraph"/>
        <w:ind w:left="1440"/>
        <w:rPr>
          <w:color w:val="0070C0"/>
        </w:rPr>
      </w:pPr>
      <w:r>
        <w:rPr>
          <w:color w:val="0070C0"/>
        </w:rPr>
        <w:t>This m</w:t>
      </w:r>
      <w:r w:rsidR="008C42F5" w:rsidRPr="006A718E">
        <w:rPr>
          <w:color w:val="0070C0"/>
        </w:rPr>
        <w:t>ay represent an onerous process to gain local governance approva</w:t>
      </w:r>
      <w:r w:rsidR="006A718E" w:rsidRPr="006A718E">
        <w:rPr>
          <w:color w:val="0070C0"/>
        </w:rPr>
        <w:t>l</w:t>
      </w:r>
      <w:r w:rsidR="009A1A3F">
        <w:rPr>
          <w:color w:val="0070C0"/>
        </w:rPr>
        <w:t xml:space="preserve"> and oversight</w:t>
      </w:r>
      <w:r w:rsidR="006A718E" w:rsidRPr="006A718E">
        <w:rPr>
          <w:color w:val="0070C0"/>
        </w:rPr>
        <w:t xml:space="preserve">.  The </w:t>
      </w:r>
      <w:r w:rsidR="008C42F5" w:rsidRPr="006A718E">
        <w:rPr>
          <w:color w:val="0070C0"/>
        </w:rPr>
        <w:t>classification</w:t>
      </w:r>
      <w:r w:rsidR="00B8632D" w:rsidRPr="006A718E">
        <w:rPr>
          <w:color w:val="0070C0"/>
        </w:rPr>
        <w:t>,</w:t>
      </w:r>
      <w:r w:rsidR="008C42F5" w:rsidRPr="006A718E">
        <w:rPr>
          <w:color w:val="0070C0"/>
        </w:rPr>
        <w:t xml:space="preserve"> as a ‘gene therapy’ is perhaps not aligned with formal definitions. It may limit uptake to smaller providers who may have no prior experience of gene therapies </w:t>
      </w:r>
      <w:r w:rsidR="00B8632D" w:rsidRPr="006A718E">
        <w:rPr>
          <w:color w:val="0070C0"/>
        </w:rPr>
        <w:t>and may</w:t>
      </w:r>
      <w:r w:rsidR="006A718E" w:rsidRPr="006A718E">
        <w:rPr>
          <w:color w:val="0070C0"/>
        </w:rPr>
        <w:t xml:space="preserve"> not feel adequately equipped to review and implement these therapies. This could result in </w:t>
      </w:r>
      <w:r w:rsidR="006A718E" w:rsidRPr="006A718E">
        <w:rPr>
          <w:color w:val="0070C0"/>
        </w:rPr>
        <w:lastRenderedPageBreak/>
        <w:t xml:space="preserve">inequities in patient access. </w:t>
      </w:r>
      <w:r w:rsidR="008C42F5" w:rsidRPr="006A718E">
        <w:rPr>
          <w:color w:val="0070C0"/>
        </w:rPr>
        <w:t>We have also encountered examples of this classification causing confusion amongst providers and there have been many different approaches taken to</w:t>
      </w:r>
      <w:r w:rsidR="00B8632D" w:rsidRPr="006A718E">
        <w:rPr>
          <w:color w:val="0070C0"/>
        </w:rPr>
        <w:t xml:space="preserve"> oversight/governance of these products between Trusts.</w:t>
      </w:r>
    </w:p>
    <w:p w14:paraId="38A44671" w14:textId="77777777" w:rsidR="001926F3" w:rsidRPr="006A718E" w:rsidRDefault="001926F3" w:rsidP="006A718E">
      <w:pPr>
        <w:pStyle w:val="ListParagraph"/>
        <w:ind w:left="1440"/>
        <w:rPr>
          <w:color w:val="0070C0"/>
        </w:rPr>
      </w:pPr>
    </w:p>
    <w:p w14:paraId="66E0BE82" w14:textId="77777777" w:rsidR="00017880" w:rsidRDefault="00017880" w:rsidP="00017880">
      <w:pPr>
        <w:pStyle w:val="ListParagraph"/>
        <w:numPr>
          <w:ilvl w:val="0"/>
          <w:numId w:val="34"/>
        </w:numPr>
      </w:pPr>
      <w:r w:rsidRPr="0046318F">
        <w:t>Please provide any additional comments or suggestions you may have on the regulatory principles outlined in section 2 of the draft guidance?</w:t>
      </w:r>
    </w:p>
    <w:p w14:paraId="7A515783" w14:textId="5B272167" w:rsidR="008C42F5" w:rsidRPr="008C42F5" w:rsidRDefault="008C42F5" w:rsidP="008C42F5">
      <w:pPr>
        <w:pStyle w:val="ListParagraph"/>
        <w:rPr>
          <w:color w:val="0070C0"/>
        </w:rPr>
      </w:pPr>
      <w:r w:rsidRPr="008C42F5">
        <w:rPr>
          <w:color w:val="0070C0"/>
        </w:rPr>
        <w:t>It would be helpful to se</w:t>
      </w:r>
      <w:r>
        <w:rPr>
          <w:color w:val="0070C0"/>
        </w:rPr>
        <w:t>t</w:t>
      </w:r>
      <w:r w:rsidRPr="008C42F5">
        <w:rPr>
          <w:color w:val="0070C0"/>
        </w:rPr>
        <w:t xml:space="preserve"> out clear </w:t>
      </w:r>
      <w:r>
        <w:rPr>
          <w:color w:val="0070C0"/>
        </w:rPr>
        <w:t xml:space="preserve">and straightforward </w:t>
      </w:r>
      <w:r w:rsidRPr="008C42F5">
        <w:rPr>
          <w:color w:val="0070C0"/>
        </w:rPr>
        <w:t>classification</w:t>
      </w:r>
      <w:r>
        <w:rPr>
          <w:color w:val="0070C0"/>
        </w:rPr>
        <w:t xml:space="preserve"> parameters</w:t>
      </w:r>
      <w:r w:rsidRPr="008C42F5">
        <w:rPr>
          <w:color w:val="0070C0"/>
        </w:rPr>
        <w:t xml:space="preserve"> for manufacturers and clinical trial sponsors. Classification of mRNA cancer immunotherapies has previously been amended mid-way through a clinical trial, causing additional workload and confusion for trial sites</w:t>
      </w:r>
    </w:p>
    <w:p w14:paraId="56F960E9" w14:textId="77777777" w:rsidR="00017880" w:rsidRDefault="00017880" w:rsidP="00017880">
      <w:pPr>
        <w:rPr>
          <w:b/>
          <w:bCs/>
          <w:u w:val="single"/>
        </w:rPr>
      </w:pPr>
      <w:r w:rsidRPr="0030313B">
        <w:rPr>
          <w:b/>
          <w:bCs/>
          <w:u w:val="single"/>
        </w:rPr>
        <w:t>Product design</w:t>
      </w:r>
    </w:p>
    <w:p w14:paraId="3807A2C3" w14:textId="77777777" w:rsidR="00017880" w:rsidRDefault="00017880" w:rsidP="00017880">
      <w:pPr>
        <w:pStyle w:val="ListParagraph"/>
        <w:numPr>
          <w:ilvl w:val="0"/>
          <w:numId w:val="34"/>
        </w:numPr>
      </w:pPr>
      <w:r w:rsidRPr="0046318F">
        <w:t>Do you agree or disagree with the product design principles outlined in section 3 of the draft guidance?</w:t>
      </w:r>
    </w:p>
    <w:p w14:paraId="757BBD39" w14:textId="27173D34" w:rsidR="003355F6" w:rsidRDefault="003355F6" w:rsidP="003355F6">
      <w:pPr>
        <w:pStyle w:val="ListParagraph"/>
        <w:rPr>
          <w:color w:val="0070C0"/>
        </w:rPr>
      </w:pPr>
      <w:r w:rsidRPr="00942301">
        <w:rPr>
          <w:color w:val="0070C0"/>
        </w:rPr>
        <w:t>Yes, in general terms, it seems sensible</w:t>
      </w:r>
    </w:p>
    <w:p w14:paraId="0F4EB869" w14:textId="77777777" w:rsidR="003355F6" w:rsidRDefault="003355F6" w:rsidP="003355F6">
      <w:pPr>
        <w:pStyle w:val="ListParagraph"/>
      </w:pPr>
    </w:p>
    <w:p w14:paraId="17FBDDB2" w14:textId="77777777" w:rsidR="00017880" w:rsidRDefault="00017880" w:rsidP="00017880">
      <w:pPr>
        <w:pStyle w:val="ListParagraph"/>
        <w:numPr>
          <w:ilvl w:val="0"/>
          <w:numId w:val="34"/>
        </w:numPr>
      </w:pPr>
      <w:r w:rsidRPr="0046318F">
        <w:t xml:space="preserve">The MHRA proposes that the Product Design aspects of individualised mRNA cancer immunotherapies should be regulated under the medical </w:t>
      </w:r>
      <w:proofErr w:type="gramStart"/>
      <w:r w:rsidRPr="0046318F">
        <w:t>devices</w:t>
      </w:r>
      <w:proofErr w:type="gramEnd"/>
      <w:r w:rsidRPr="0046318F">
        <w:t xml:space="preserve"> framework, as well as the medicinal products framework. What are your views on this approach?</w:t>
      </w:r>
    </w:p>
    <w:p w14:paraId="0BDA8C29" w14:textId="77777777" w:rsidR="003355F6" w:rsidRPr="00942301" w:rsidRDefault="003355F6" w:rsidP="003355F6">
      <w:pPr>
        <w:pStyle w:val="ListParagraph"/>
        <w:rPr>
          <w:color w:val="0070C0"/>
        </w:rPr>
      </w:pPr>
      <w:r w:rsidRPr="00942301">
        <w:rPr>
          <w:color w:val="0070C0"/>
        </w:rPr>
        <w:t xml:space="preserve">This makes sense, as the process is multi-faceted. The quality, reliability and efficacy of the underlying analytical process, bioinformatics and AI/ML neoantigen identification and selection, underpins the quality of the individualised mRNA immunotherapies. Therefore, they need to </w:t>
      </w:r>
      <w:proofErr w:type="gramStart"/>
      <w:r w:rsidRPr="00942301">
        <w:rPr>
          <w:color w:val="0070C0"/>
        </w:rPr>
        <w:t>regulated</w:t>
      </w:r>
      <w:proofErr w:type="gramEnd"/>
      <w:r w:rsidRPr="00942301">
        <w:rPr>
          <w:color w:val="0070C0"/>
        </w:rPr>
        <w:t xml:space="preserve"> under the medical devices framework, likewise, the actual therapy, needs to comply with the medicinal products framework to ensure the manufacturing standards and quality.</w:t>
      </w:r>
    </w:p>
    <w:p w14:paraId="435AC23E" w14:textId="77777777" w:rsidR="003355F6" w:rsidRDefault="003355F6" w:rsidP="003355F6">
      <w:pPr>
        <w:pStyle w:val="ListParagraph"/>
      </w:pPr>
    </w:p>
    <w:p w14:paraId="3474BAC0" w14:textId="77777777" w:rsidR="00017880" w:rsidRDefault="00017880" w:rsidP="00017880">
      <w:pPr>
        <w:pStyle w:val="ListParagraph"/>
        <w:numPr>
          <w:ilvl w:val="0"/>
          <w:numId w:val="34"/>
        </w:numPr>
      </w:pPr>
      <w:r w:rsidRPr="0046318F">
        <w:t>The product design of individualised mRNA cancer immunotherapies may involve the use of an AI/ML workflow. How should the MHRA manage updates and changes from a regulatory perspective?</w:t>
      </w:r>
    </w:p>
    <w:p w14:paraId="74B974B3" w14:textId="77777777" w:rsidR="003355F6" w:rsidRPr="00942301" w:rsidRDefault="003355F6" w:rsidP="003355F6">
      <w:pPr>
        <w:pStyle w:val="ListParagraph"/>
        <w:rPr>
          <w:color w:val="0070C0"/>
        </w:rPr>
      </w:pPr>
      <w:r w:rsidRPr="00942301">
        <w:rPr>
          <w:color w:val="0070C0"/>
        </w:rPr>
        <w:t>There should be a clear record of the software version and the specific training data used for each individualised batch to ensure traceability and facilitate investigation of any patient safety issues. It may be beneficial to ensure the involvement of a bioinformatics or sequencing expert consultant to advise how upstream process variation (e.g., differences in sequencing quality or sample preparation) could impact the model's outputs. This expertise could help guide developers in selecting appropriate and representative datasets for model training and validation.</w:t>
      </w:r>
    </w:p>
    <w:p w14:paraId="5EB584EE" w14:textId="77777777" w:rsidR="003355F6" w:rsidRDefault="003355F6" w:rsidP="003355F6">
      <w:pPr>
        <w:pStyle w:val="ListParagraph"/>
      </w:pPr>
    </w:p>
    <w:p w14:paraId="7D2D1D5B" w14:textId="77777777" w:rsidR="00017880" w:rsidRDefault="00017880" w:rsidP="00017880">
      <w:pPr>
        <w:pStyle w:val="ListParagraph"/>
        <w:numPr>
          <w:ilvl w:val="0"/>
          <w:numId w:val="34"/>
        </w:numPr>
      </w:pPr>
      <w:r w:rsidRPr="0046318F">
        <w:t>Please provide any additional comments or suggestions you may have on the product design aspects outlined in section 3 of the draft guidance?</w:t>
      </w:r>
    </w:p>
    <w:p w14:paraId="6DBE3A65" w14:textId="77777777" w:rsidR="003355F6" w:rsidRPr="00942301" w:rsidRDefault="003355F6" w:rsidP="003355F6">
      <w:pPr>
        <w:pStyle w:val="ListParagraph"/>
        <w:rPr>
          <w:color w:val="0070C0"/>
        </w:rPr>
      </w:pPr>
      <w:r w:rsidRPr="00942301">
        <w:rPr>
          <w:color w:val="0070C0"/>
        </w:rPr>
        <w:t>Given the complexity of the process and the need for checks or justification at each stage, I am wondering how these will be ensured/ justified for each indiv</w:t>
      </w:r>
      <w:r>
        <w:rPr>
          <w:color w:val="0070C0"/>
        </w:rPr>
        <w:t>i</w:t>
      </w:r>
      <w:r w:rsidRPr="00942301">
        <w:rPr>
          <w:color w:val="0070C0"/>
        </w:rPr>
        <w:t xml:space="preserve">dualised batch —for example, verification of sample homogeneity or justification for any deviations in the sequencing protocol. Will a batch manufacturing record, that contains or links to all this information be </w:t>
      </w:r>
      <w:proofErr w:type="gramStart"/>
      <w:r w:rsidRPr="00942301">
        <w:rPr>
          <w:color w:val="0070C0"/>
        </w:rPr>
        <w:t>produce</w:t>
      </w:r>
      <w:r>
        <w:rPr>
          <w:color w:val="0070C0"/>
        </w:rPr>
        <w:t>?</w:t>
      </w:r>
      <w:r w:rsidRPr="00942301">
        <w:rPr>
          <w:color w:val="0070C0"/>
        </w:rPr>
        <w:t>.</w:t>
      </w:r>
      <w:proofErr w:type="gramEnd"/>
      <w:r w:rsidRPr="00942301">
        <w:rPr>
          <w:color w:val="0070C0"/>
        </w:rPr>
        <w:t xml:space="preserve"> Without such traceability, identifying potential causes of patient safety issues could be challenging.</w:t>
      </w:r>
    </w:p>
    <w:p w14:paraId="35D31EA4" w14:textId="335309B0" w:rsidR="003355F6" w:rsidRDefault="003355F6" w:rsidP="003355F6">
      <w:pPr>
        <w:pStyle w:val="ListParagraph"/>
        <w:rPr>
          <w:color w:val="0070C0"/>
        </w:rPr>
      </w:pPr>
      <w:r w:rsidRPr="00942301">
        <w:rPr>
          <w:color w:val="0070C0"/>
        </w:rPr>
        <w:t xml:space="preserve">Similarly, transport logs for tissue and blood samples are essential to ensure sample quality for sequencing. Will these logs be considered part of the drug substance or raw material documentation </w:t>
      </w:r>
      <w:r w:rsidRPr="00942301">
        <w:rPr>
          <w:color w:val="0070C0"/>
        </w:rPr>
        <w:lastRenderedPageBreak/>
        <w:t xml:space="preserve">in the medicinal product manufacturing file, </w:t>
      </w:r>
      <w:proofErr w:type="gramStart"/>
      <w:r w:rsidRPr="00942301">
        <w:rPr>
          <w:color w:val="0070C0"/>
        </w:rPr>
        <w:t>similar to</w:t>
      </w:r>
      <w:proofErr w:type="gramEnd"/>
      <w:r w:rsidRPr="00942301">
        <w:rPr>
          <w:color w:val="0070C0"/>
        </w:rPr>
        <w:t xml:space="preserve"> those required downstream for the mRNA as outlined in 4.2.2</w:t>
      </w:r>
    </w:p>
    <w:p w14:paraId="2BFEEC5B" w14:textId="77777777" w:rsidR="003355F6" w:rsidRDefault="003355F6" w:rsidP="003355F6">
      <w:pPr>
        <w:pStyle w:val="ListParagraph"/>
      </w:pPr>
    </w:p>
    <w:p w14:paraId="46CC2272" w14:textId="77777777" w:rsidR="00017880" w:rsidRDefault="00017880" w:rsidP="00017880">
      <w:pPr>
        <w:rPr>
          <w:b/>
          <w:bCs/>
          <w:u w:val="single"/>
        </w:rPr>
      </w:pPr>
      <w:r w:rsidRPr="0030313B">
        <w:rPr>
          <w:b/>
          <w:bCs/>
          <w:u w:val="single"/>
        </w:rPr>
        <w:t>Product manufacturing</w:t>
      </w:r>
    </w:p>
    <w:p w14:paraId="205248F5" w14:textId="77777777" w:rsidR="00017880" w:rsidRDefault="00017880" w:rsidP="00017880">
      <w:pPr>
        <w:pStyle w:val="ListParagraph"/>
        <w:numPr>
          <w:ilvl w:val="0"/>
          <w:numId w:val="34"/>
        </w:numPr>
      </w:pPr>
      <w:r w:rsidRPr="0046318F">
        <w:t>Do you agree or disagree with the product manufacturing principles outlined in section 4 of the draft guidance?</w:t>
      </w:r>
      <w:r>
        <w:t xml:space="preserve"> </w:t>
      </w:r>
    </w:p>
    <w:p w14:paraId="01F18F80" w14:textId="77777777" w:rsidR="003355F6" w:rsidRPr="00871EF8" w:rsidRDefault="003355F6" w:rsidP="003355F6">
      <w:pPr>
        <w:pStyle w:val="ListParagraph"/>
        <w:rPr>
          <w:color w:val="0070C0"/>
        </w:rPr>
      </w:pPr>
      <w:r w:rsidRPr="00871EF8">
        <w:rPr>
          <w:color w:val="0070C0"/>
        </w:rPr>
        <w:t>Yes, the quality by design approach, and use of existing experience of developing similar products seems a sound approach.</w:t>
      </w:r>
    </w:p>
    <w:p w14:paraId="2D6E77AA" w14:textId="77777777" w:rsidR="003355F6" w:rsidRDefault="003355F6" w:rsidP="003355F6">
      <w:pPr>
        <w:pStyle w:val="ListParagraph"/>
      </w:pPr>
    </w:p>
    <w:p w14:paraId="0FC594CE" w14:textId="77777777" w:rsidR="00017880" w:rsidRDefault="00017880" w:rsidP="00017880">
      <w:pPr>
        <w:pStyle w:val="ListParagraph"/>
        <w:numPr>
          <w:ilvl w:val="0"/>
          <w:numId w:val="34"/>
        </w:numPr>
      </w:pPr>
      <w:r w:rsidRPr="0046318F">
        <w:t>Considering the individualised nature of the therapies and the need for a rapid turnaround, please provide any comments and/or suggestions you may have on the batch release test parameters outlined in the draft guidance.</w:t>
      </w:r>
    </w:p>
    <w:p w14:paraId="04CF45AD" w14:textId="77777777" w:rsidR="003355F6" w:rsidRPr="00871EF8" w:rsidRDefault="003355F6" w:rsidP="003355F6">
      <w:pPr>
        <w:pStyle w:val="ListParagraph"/>
        <w:rPr>
          <w:color w:val="0070C0"/>
        </w:rPr>
      </w:pPr>
      <w:r w:rsidRPr="00871EF8">
        <w:rPr>
          <w:color w:val="0070C0"/>
        </w:rPr>
        <w:t xml:space="preserve">The batch release test parameters </w:t>
      </w:r>
      <w:r>
        <w:rPr>
          <w:color w:val="0070C0"/>
        </w:rPr>
        <w:t>are</w:t>
      </w:r>
      <w:r w:rsidRPr="00871EF8">
        <w:rPr>
          <w:color w:val="0070C0"/>
        </w:rPr>
        <w:t xml:space="preserve"> well thought out, and the potential for the two-stage batch release approach seems sensible. However, it may be worth considering the inclusion of post-release, pre-administration tests to gather additional data while the product is in transit to the patient, thereby maximising the available time for testing.</w:t>
      </w:r>
    </w:p>
    <w:p w14:paraId="79C0C3A4" w14:textId="77777777" w:rsidR="003355F6" w:rsidRPr="00871EF8" w:rsidRDefault="003355F6" w:rsidP="003355F6">
      <w:pPr>
        <w:pStyle w:val="ListParagraph"/>
        <w:rPr>
          <w:color w:val="0070C0"/>
        </w:rPr>
      </w:pPr>
      <w:r w:rsidRPr="00871EF8">
        <w:rPr>
          <w:color w:val="0070C0"/>
        </w:rPr>
        <w:t>One challenge would be ensuring that this data is consistently captured and reviewed before administration. In the future, the use of an online tracking system linked to a unique product identifier (e.g., a barcode or QR code) could help address this. This would allow healthcare professionals to scan the product at the point of administration to verify its release status and confirm that any additional test data has been reviewed.</w:t>
      </w:r>
    </w:p>
    <w:p w14:paraId="3ED8234E" w14:textId="77777777" w:rsidR="003355F6" w:rsidRDefault="003355F6" w:rsidP="003355F6">
      <w:pPr>
        <w:pStyle w:val="ListParagraph"/>
      </w:pPr>
    </w:p>
    <w:p w14:paraId="29EA6659" w14:textId="77777777" w:rsidR="00017880" w:rsidRDefault="00017880" w:rsidP="00017880">
      <w:pPr>
        <w:pStyle w:val="ListParagraph"/>
        <w:numPr>
          <w:ilvl w:val="0"/>
          <w:numId w:val="34"/>
        </w:numPr>
      </w:pPr>
      <w:r w:rsidRPr="0046318F">
        <w:t>Please provide any additional comments or suggestions you may have on the product manufacturing aspects outlined in section 4 of the draft guidance?</w:t>
      </w:r>
    </w:p>
    <w:p w14:paraId="20653110" w14:textId="77777777" w:rsidR="00017880" w:rsidRDefault="00017880" w:rsidP="00017880">
      <w:pPr>
        <w:rPr>
          <w:b/>
          <w:bCs/>
          <w:u w:val="single"/>
        </w:rPr>
      </w:pPr>
      <w:r w:rsidRPr="0030313B">
        <w:rPr>
          <w:b/>
          <w:bCs/>
          <w:u w:val="single"/>
        </w:rPr>
        <w:t>Non-clinical aspects</w:t>
      </w:r>
    </w:p>
    <w:p w14:paraId="15EB12D3" w14:textId="594BA1C1" w:rsidR="00090C5C" w:rsidRPr="00090C5C" w:rsidRDefault="00090C5C" w:rsidP="00017880">
      <w:pPr>
        <w:rPr>
          <w:color w:val="0070C0"/>
        </w:rPr>
      </w:pPr>
      <w:r w:rsidRPr="00090C5C">
        <w:rPr>
          <w:color w:val="0070C0"/>
        </w:rPr>
        <w:t>We do not feel we are able to respond to this section</w:t>
      </w:r>
    </w:p>
    <w:p w14:paraId="6517E649" w14:textId="77777777" w:rsidR="00017880" w:rsidRDefault="00017880" w:rsidP="00017880">
      <w:pPr>
        <w:pStyle w:val="ListParagraph"/>
        <w:numPr>
          <w:ilvl w:val="0"/>
          <w:numId w:val="34"/>
        </w:numPr>
      </w:pPr>
      <w:r w:rsidRPr="0046318F">
        <w:t>Do you agree or disagree with the non-clinical aspects outlined in section 5 of the draft guidance?</w:t>
      </w:r>
      <w:r>
        <w:t xml:space="preserve"> </w:t>
      </w:r>
    </w:p>
    <w:p w14:paraId="60EA768E" w14:textId="77777777" w:rsidR="00017880" w:rsidRDefault="00017880" w:rsidP="00017880">
      <w:pPr>
        <w:pStyle w:val="ListParagraph"/>
        <w:numPr>
          <w:ilvl w:val="0"/>
          <w:numId w:val="34"/>
        </w:numPr>
      </w:pPr>
      <w:r w:rsidRPr="0046318F">
        <w:t xml:space="preserve">The exact version of a licensed individualised mRNA cancer immunotherapy product would be tailored to each patient’s tumour. The draft guidance recommends </w:t>
      </w:r>
      <w:r w:rsidRPr="0046318F">
        <w:rPr>
          <w:b/>
          <w:bCs/>
        </w:rPr>
        <w:t>non-clinical studies</w:t>
      </w:r>
      <w:r w:rsidRPr="0046318F">
        <w:t xml:space="preserve"> using products that are representative of, but not identical to, the individualised licensed product. Please provide any comments you may have on this approach, and any suggestions for alternative regulatory approaches.</w:t>
      </w:r>
    </w:p>
    <w:p w14:paraId="1DD2FEFA" w14:textId="77777777" w:rsidR="00017880" w:rsidRDefault="00017880" w:rsidP="00017880">
      <w:pPr>
        <w:pStyle w:val="ListParagraph"/>
        <w:numPr>
          <w:ilvl w:val="0"/>
          <w:numId w:val="34"/>
        </w:numPr>
      </w:pPr>
      <w:r w:rsidRPr="0046318F">
        <w:t>Please provide any additional comments or suggestions you may have on the non-clinical aspects outlined in section 5 of the draft guidance?</w:t>
      </w:r>
    </w:p>
    <w:p w14:paraId="428C8B0C" w14:textId="77777777" w:rsidR="00017880" w:rsidRPr="0030313B" w:rsidRDefault="00017880" w:rsidP="00017880">
      <w:pPr>
        <w:rPr>
          <w:b/>
          <w:bCs/>
          <w:u w:val="single"/>
        </w:rPr>
      </w:pPr>
      <w:r w:rsidRPr="0030313B">
        <w:rPr>
          <w:b/>
          <w:bCs/>
          <w:u w:val="single"/>
        </w:rPr>
        <w:t>Clinical aspects</w:t>
      </w:r>
    </w:p>
    <w:p w14:paraId="24BF171D" w14:textId="77777777" w:rsidR="00017880" w:rsidRDefault="00017880" w:rsidP="00017880">
      <w:pPr>
        <w:pStyle w:val="ListParagraph"/>
        <w:numPr>
          <w:ilvl w:val="0"/>
          <w:numId w:val="34"/>
        </w:numPr>
      </w:pPr>
      <w:r w:rsidRPr="0046318F">
        <w:t>Do you agree or disagree with the clinical aspects outlined in section 6 of the draft guidance?</w:t>
      </w:r>
      <w:r>
        <w:t xml:space="preserve"> </w:t>
      </w:r>
    </w:p>
    <w:p w14:paraId="51E67F83" w14:textId="77777777" w:rsidR="00017880" w:rsidRDefault="00017880" w:rsidP="00017880">
      <w:pPr>
        <w:pStyle w:val="ListParagraph"/>
        <w:numPr>
          <w:ilvl w:val="0"/>
          <w:numId w:val="34"/>
        </w:numPr>
      </w:pPr>
      <w:r w:rsidRPr="0046318F">
        <w:t xml:space="preserve">The exact version of a licensed individualised mRNA cancer immunotherapy product would be tailored to each patient’s tumour. The draft guidance recommends </w:t>
      </w:r>
      <w:r w:rsidRPr="0046318F">
        <w:rPr>
          <w:b/>
          <w:bCs/>
        </w:rPr>
        <w:t>clinical studies</w:t>
      </w:r>
      <w:r w:rsidRPr="0046318F">
        <w:t xml:space="preserve"> using products that are representative of, but not identical to, the individualised licensed product. Please provide any </w:t>
      </w:r>
      <w:r w:rsidRPr="0046318F">
        <w:lastRenderedPageBreak/>
        <w:t>comments you may have on this approach, and any suggestions for alternative regulatory approaches.</w:t>
      </w:r>
    </w:p>
    <w:p w14:paraId="47F87CE9" w14:textId="77777777" w:rsidR="003355F6" w:rsidRPr="00DD13BA" w:rsidRDefault="003355F6" w:rsidP="003355F6">
      <w:pPr>
        <w:pStyle w:val="ListParagraph"/>
        <w:rPr>
          <w:color w:val="0070C0"/>
        </w:rPr>
      </w:pPr>
      <w:r w:rsidRPr="00F1332A">
        <w:rPr>
          <w:color w:val="0070C0"/>
        </w:rPr>
        <w:t>Due to the need to tailor the drug product to each patient, this approach seems sensible</w:t>
      </w:r>
      <w:r>
        <w:rPr>
          <w:color w:val="0070C0"/>
        </w:rPr>
        <w:t>.  T</w:t>
      </w:r>
      <w:r w:rsidRPr="00DD13BA">
        <w:rPr>
          <w:color w:val="0070C0"/>
        </w:rPr>
        <w:t>his</w:t>
      </w:r>
      <w:r>
        <w:rPr>
          <w:color w:val="0070C0"/>
        </w:rPr>
        <w:t xml:space="preserve"> approach</w:t>
      </w:r>
      <w:r w:rsidRPr="00DD13BA">
        <w:rPr>
          <w:color w:val="0070C0"/>
        </w:rPr>
        <w:t xml:space="preserve"> could be compared to approval </w:t>
      </w:r>
      <w:r>
        <w:rPr>
          <w:color w:val="0070C0"/>
        </w:rPr>
        <w:t xml:space="preserve">in some </w:t>
      </w:r>
      <w:proofErr w:type="gramStart"/>
      <w:r>
        <w:rPr>
          <w:color w:val="0070C0"/>
        </w:rPr>
        <w:t>aspects</w:t>
      </w:r>
      <w:proofErr w:type="gramEnd"/>
      <w:r>
        <w:rPr>
          <w:color w:val="0070C0"/>
        </w:rPr>
        <w:t xml:space="preserve"> to </w:t>
      </w:r>
      <w:r w:rsidRPr="00DD13BA">
        <w:rPr>
          <w:color w:val="0070C0"/>
        </w:rPr>
        <w:t>processes for biological</w:t>
      </w:r>
      <w:r>
        <w:rPr>
          <w:color w:val="0070C0"/>
        </w:rPr>
        <w:t>/biosimilar</w:t>
      </w:r>
      <w:r w:rsidRPr="00DD13BA">
        <w:rPr>
          <w:color w:val="0070C0"/>
        </w:rPr>
        <w:t xml:space="preserve"> medicines which are never identical</w:t>
      </w:r>
      <w:r>
        <w:rPr>
          <w:color w:val="0070C0"/>
        </w:rPr>
        <w:t>,</w:t>
      </w:r>
      <w:r w:rsidRPr="00DD13BA">
        <w:rPr>
          <w:color w:val="0070C0"/>
        </w:rPr>
        <w:t xml:space="preserve"> due to inherent variability</w:t>
      </w:r>
      <w:r>
        <w:rPr>
          <w:color w:val="0070C0"/>
        </w:rPr>
        <w:t xml:space="preserve"> in biological compounds</w:t>
      </w:r>
      <w:r w:rsidRPr="00DD13BA">
        <w:rPr>
          <w:color w:val="0070C0"/>
        </w:rPr>
        <w:t xml:space="preserve">. </w:t>
      </w:r>
      <w:r>
        <w:rPr>
          <w:color w:val="0070C0"/>
        </w:rPr>
        <w:t>H</w:t>
      </w:r>
      <w:r w:rsidRPr="00F1332A">
        <w:rPr>
          <w:color w:val="0070C0"/>
        </w:rPr>
        <w:t>owever</w:t>
      </w:r>
      <w:r>
        <w:rPr>
          <w:color w:val="0070C0"/>
        </w:rPr>
        <w:t xml:space="preserve">, </w:t>
      </w:r>
      <w:r w:rsidRPr="00F1332A">
        <w:rPr>
          <w:color w:val="0070C0"/>
        </w:rPr>
        <w:t>clear review will be needed of the patient populations used in the clinical studies, to ensure a range is covered, which allows for the design space related to the variable element to be properly evaluated</w:t>
      </w:r>
      <w:r>
        <w:rPr>
          <w:color w:val="0070C0"/>
        </w:rPr>
        <w:t>.</w:t>
      </w:r>
    </w:p>
    <w:p w14:paraId="22DCC818" w14:textId="27F96E94" w:rsidR="003355F6" w:rsidRDefault="003355F6" w:rsidP="003355F6">
      <w:pPr>
        <w:pStyle w:val="ListParagraph"/>
        <w:rPr>
          <w:color w:val="0070C0"/>
        </w:rPr>
      </w:pPr>
      <w:r w:rsidRPr="00DD13BA">
        <w:rPr>
          <w:color w:val="0070C0"/>
        </w:rPr>
        <w:t>There is perhaps a risk</w:t>
      </w:r>
      <w:r>
        <w:rPr>
          <w:color w:val="0070C0"/>
        </w:rPr>
        <w:t>,</w:t>
      </w:r>
      <w:r w:rsidRPr="00DD13BA">
        <w:rPr>
          <w:color w:val="0070C0"/>
        </w:rPr>
        <w:t xml:space="preserve"> due to the </w:t>
      </w:r>
      <w:r>
        <w:rPr>
          <w:color w:val="0070C0"/>
        </w:rPr>
        <w:t>neoantigens</w:t>
      </w:r>
      <w:r w:rsidRPr="00DD13BA">
        <w:rPr>
          <w:color w:val="0070C0"/>
        </w:rPr>
        <w:t xml:space="preserve"> selected</w:t>
      </w:r>
      <w:r>
        <w:rPr>
          <w:color w:val="0070C0"/>
        </w:rPr>
        <w:t>,</w:t>
      </w:r>
      <w:r w:rsidRPr="00DD13BA">
        <w:rPr>
          <w:color w:val="0070C0"/>
        </w:rPr>
        <w:t xml:space="preserve"> that a batch for a particular patient may be less efficacious</w:t>
      </w:r>
      <w:r>
        <w:rPr>
          <w:color w:val="0070C0"/>
        </w:rPr>
        <w:t xml:space="preserve"> (and possibly associated with more adverse effects)</w:t>
      </w:r>
      <w:r w:rsidRPr="00DD13BA">
        <w:rPr>
          <w:color w:val="0070C0"/>
        </w:rPr>
        <w:t xml:space="preserve"> than expected, but I cannot think of an alternative to t</w:t>
      </w:r>
      <w:r>
        <w:rPr>
          <w:color w:val="0070C0"/>
        </w:rPr>
        <w:t>he approach for clinical studies which is described</w:t>
      </w:r>
      <w:r w:rsidRPr="00DD13BA">
        <w:rPr>
          <w:color w:val="0070C0"/>
        </w:rPr>
        <w:t>.</w:t>
      </w:r>
      <w:r>
        <w:rPr>
          <w:color w:val="0070C0"/>
        </w:rPr>
        <w:t xml:space="preserve">  It is important to collect post-marketing data on real world efficacy and safety.</w:t>
      </w:r>
    </w:p>
    <w:p w14:paraId="289DC76E" w14:textId="77777777" w:rsidR="003355F6" w:rsidRDefault="003355F6" w:rsidP="00090C5C">
      <w:pPr>
        <w:pStyle w:val="ListParagraph"/>
        <w:rPr>
          <w:color w:val="0070C0"/>
        </w:rPr>
      </w:pPr>
    </w:p>
    <w:p w14:paraId="12B6A57A" w14:textId="77777777" w:rsidR="00017880" w:rsidRDefault="00017880" w:rsidP="00017880">
      <w:pPr>
        <w:pStyle w:val="ListParagraph"/>
        <w:numPr>
          <w:ilvl w:val="0"/>
          <w:numId w:val="34"/>
        </w:numPr>
      </w:pPr>
      <w:r w:rsidRPr="00295CF2">
        <w:t>Please provide any additional comments or suggestions you may have on the clinical aspects outlined in section 6 of the draft guidance?</w:t>
      </w:r>
    </w:p>
    <w:p w14:paraId="03F6E77B" w14:textId="77777777" w:rsidR="00017880" w:rsidRPr="0030313B" w:rsidRDefault="00017880" w:rsidP="00017880">
      <w:pPr>
        <w:rPr>
          <w:b/>
          <w:bCs/>
          <w:u w:val="single"/>
        </w:rPr>
      </w:pPr>
      <w:r w:rsidRPr="0030313B">
        <w:rPr>
          <w:b/>
          <w:bCs/>
          <w:u w:val="single"/>
        </w:rPr>
        <w:t>Post-authorisation aspects</w:t>
      </w:r>
    </w:p>
    <w:p w14:paraId="321B08F7" w14:textId="77777777" w:rsidR="00017880" w:rsidRDefault="00017880" w:rsidP="00017880">
      <w:pPr>
        <w:pStyle w:val="ListParagraph"/>
        <w:numPr>
          <w:ilvl w:val="0"/>
          <w:numId w:val="34"/>
        </w:numPr>
      </w:pPr>
      <w:r w:rsidRPr="00295CF2">
        <w:t>Do you agree or disagree with the post-authorisation aspects outlined in section 7 of the draft guidance?</w:t>
      </w:r>
      <w:r>
        <w:t xml:space="preserve"> </w:t>
      </w:r>
    </w:p>
    <w:p w14:paraId="66DB20D1" w14:textId="77777777" w:rsidR="003355F6" w:rsidRPr="008C3432" w:rsidRDefault="003355F6" w:rsidP="003355F6">
      <w:pPr>
        <w:pStyle w:val="ListParagraph"/>
        <w:rPr>
          <w:color w:val="0070C0"/>
        </w:rPr>
      </w:pPr>
      <w:r w:rsidRPr="008C3432">
        <w:rPr>
          <w:color w:val="0070C0"/>
        </w:rPr>
        <w:t xml:space="preserve">In agreement with proposals for a risk management plan and would support an approach to consider genomic data in the context of ADRs, although this would have to be undertaken in </w:t>
      </w:r>
      <w:proofErr w:type="gramStart"/>
      <w:r w:rsidRPr="008C3432">
        <w:rPr>
          <w:color w:val="0070C0"/>
        </w:rPr>
        <w:t>a research</w:t>
      </w:r>
      <w:proofErr w:type="gramEnd"/>
      <w:r w:rsidRPr="008C3432">
        <w:rPr>
          <w:color w:val="0070C0"/>
        </w:rPr>
        <w:t xml:space="preserve"> setting or perhaps proposed to be included in the MHRA Biobank initiative?</w:t>
      </w:r>
    </w:p>
    <w:p w14:paraId="72370CDF" w14:textId="77777777" w:rsidR="001926F3" w:rsidRPr="008C3432" w:rsidRDefault="001926F3" w:rsidP="008C3432">
      <w:pPr>
        <w:pStyle w:val="ListParagraph"/>
        <w:rPr>
          <w:color w:val="0070C0"/>
        </w:rPr>
      </w:pPr>
    </w:p>
    <w:p w14:paraId="3AE63133" w14:textId="77777777" w:rsidR="001926F3" w:rsidRPr="001926F3" w:rsidRDefault="00017880" w:rsidP="00543EC4">
      <w:pPr>
        <w:pStyle w:val="ListParagraph"/>
        <w:numPr>
          <w:ilvl w:val="0"/>
          <w:numId w:val="34"/>
        </w:numPr>
      </w:pPr>
      <w:r w:rsidRPr="001926F3">
        <w:t xml:space="preserve">Please provide any comments you may have on the proposed requirement of a marketing authorisation for an individualised mRNA cancer immunotherapy to have a requirement for a post-authorisation safety </w:t>
      </w:r>
      <w:proofErr w:type="gramStart"/>
      <w:r w:rsidRPr="001926F3">
        <w:t>study?</w:t>
      </w:r>
      <w:proofErr w:type="gramEnd"/>
    </w:p>
    <w:p w14:paraId="749F78FF" w14:textId="77777777" w:rsidR="003355F6" w:rsidRPr="00A723C0" w:rsidRDefault="003355F6" w:rsidP="003355F6">
      <w:pPr>
        <w:pStyle w:val="ListParagraph"/>
        <w:rPr>
          <w:color w:val="0070C0"/>
        </w:rPr>
      </w:pPr>
      <w:r w:rsidRPr="00A723C0">
        <w:rPr>
          <w:color w:val="0070C0"/>
        </w:rPr>
        <w:t xml:space="preserve">A post authorisation safety study will be critical and a sensible suggestion, to monitor and evaluate any emerging trends in the </w:t>
      </w:r>
      <w:proofErr w:type="gramStart"/>
      <w:r w:rsidRPr="00A723C0">
        <w:rPr>
          <w:color w:val="0070C0"/>
        </w:rPr>
        <w:t>long term</w:t>
      </w:r>
      <w:proofErr w:type="gramEnd"/>
      <w:r w:rsidRPr="00A723C0">
        <w:rPr>
          <w:color w:val="0070C0"/>
        </w:rPr>
        <w:t xml:space="preserve"> use of these products.</w:t>
      </w:r>
    </w:p>
    <w:p w14:paraId="39168A42" w14:textId="77777777" w:rsidR="001926F3" w:rsidRPr="001926F3" w:rsidRDefault="001926F3" w:rsidP="001926F3">
      <w:pPr>
        <w:pStyle w:val="ListParagraph"/>
        <w:rPr>
          <w:color w:val="0070C0"/>
        </w:rPr>
      </w:pPr>
    </w:p>
    <w:p w14:paraId="57EDD219" w14:textId="77777777" w:rsidR="001926F3" w:rsidRPr="001926F3" w:rsidRDefault="00017880" w:rsidP="00DC2820">
      <w:pPr>
        <w:pStyle w:val="ListParagraph"/>
        <w:numPr>
          <w:ilvl w:val="0"/>
          <w:numId w:val="34"/>
        </w:numPr>
        <w:spacing w:after="0" w:line="240" w:lineRule="auto"/>
        <w:rPr>
          <w:rFonts w:ascii="Calibri" w:eastAsia="Times New Roman" w:hAnsi="Calibri" w:cs="Calibri"/>
          <w:lang w:eastAsia="en-GB"/>
        </w:rPr>
      </w:pPr>
      <w:r w:rsidRPr="001926F3">
        <w:t xml:space="preserve">Please provide any additional comments or suggestions you may have on the post-authorisation aspects outlined in section 7 of the draft </w:t>
      </w:r>
      <w:proofErr w:type="gramStart"/>
      <w:r w:rsidRPr="001926F3">
        <w:t>guidance?</w:t>
      </w:r>
      <w:proofErr w:type="gramEnd"/>
    </w:p>
    <w:p w14:paraId="7AE8A964" w14:textId="3296C8E4" w:rsidR="00F5076E" w:rsidRDefault="001926F3" w:rsidP="001926F3">
      <w:pPr>
        <w:pStyle w:val="ListParagraph"/>
        <w:spacing w:after="0" w:line="240" w:lineRule="auto"/>
        <w:rPr>
          <w:rFonts w:ascii="Calibri" w:eastAsia="Times New Roman" w:hAnsi="Calibri" w:cs="Calibri"/>
          <w:color w:val="0070C0"/>
          <w:lang w:eastAsia="en-GB"/>
        </w:rPr>
      </w:pPr>
      <w:r w:rsidRPr="001926F3">
        <w:rPr>
          <w:rFonts w:ascii="Calibri" w:eastAsia="Times New Roman" w:hAnsi="Calibri" w:cs="Calibri"/>
          <w:color w:val="0070C0"/>
          <w:lang w:eastAsia="en-GB"/>
        </w:rPr>
        <w:t xml:space="preserve">We </w:t>
      </w:r>
      <w:r w:rsidR="00F5076E" w:rsidRPr="001926F3">
        <w:rPr>
          <w:rFonts w:ascii="Calibri" w:eastAsia="Times New Roman" w:hAnsi="Calibri" w:cs="Calibri"/>
          <w:color w:val="0070C0"/>
          <w:lang w:eastAsia="en-GB"/>
        </w:rPr>
        <w:t xml:space="preserve">support the detail in section 7 about traceability, educational materials for healthcare professionals and patients (or a card). The note about control programmes is especially important </w:t>
      </w:r>
      <w:proofErr w:type="spellStart"/>
      <w:r w:rsidR="00F5076E" w:rsidRPr="001926F3">
        <w:rPr>
          <w:rFonts w:ascii="Calibri" w:eastAsia="Times New Roman" w:hAnsi="Calibri" w:cs="Calibri"/>
          <w:color w:val="0070C0"/>
          <w:lang w:eastAsia="en-GB"/>
        </w:rPr>
        <w:t>eg.</w:t>
      </w:r>
      <w:proofErr w:type="spellEnd"/>
      <w:r w:rsidR="00F5076E" w:rsidRPr="001926F3">
        <w:rPr>
          <w:rFonts w:ascii="Calibri" w:eastAsia="Times New Roman" w:hAnsi="Calibri" w:cs="Calibri"/>
          <w:color w:val="0070C0"/>
          <w:lang w:eastAsia="en-GB"/>
        </w:rPr>
        <w:t xml:space="preserve"> distribution only to accredited healthcare facilities, demonstrating the appropriate processes and infrastructure to ensure product traceability</w:t>
      </w:r>
    </w:p>
    <w:p w14:paraId="35544B06" w14:textId="77777777" w:rsidR="001926F3" w:rsidRDefault="001926F3" w:rsidP="001926F3">
      <w:pPr>
        <w:pStyle w:val="ListParagraph"/>
        <w:spacing w:after="0" w:line="240" w:lineRule="auto"/>
      </w:pPr>
    </w:p>
    <w:p w14:paraId="7F15FA0B" w14:textId="77777777" w:rsidR="00017880" w:rsidRPr="0030313B" w:rsidRDefault="00017880" w:rsidP="00017880">
      <w:pPr>
        <w:rPr>
          <w:b/>
          <w:bCs/>
          <w:u w:val="single"/>
        </w:rPr>
      </w:pPr>
      <w:r w:rsidRPr="0030313B">
        <w:rPr>
          <w:b/>
          <w:bCs/>
          <w:u w:val="single"/>
        </w:rPr>
        <w:t>Information for patients, healthcare professionals, and the public</w:t>
      </w:r>
    </w:p>
    <w:p w14:paraId="4D26E7BB" w14:textId="77777777" w:rsidR="001926F3" w:rsidRPr="001926F3" w:rsidRDefault="00017880" w:rsidP="00821A5D">
      <w:pPr>
        <w:pStyle w:val="ListParagraph"/>
        <w:numPr>
          <w:ilvl w:val="0"/>
          <w:numId w:val="34"/>
        </w:numPr>
        <w:spacing w:after="0" w:line="240" w:lineRule="auto"/>
        <w:rPr>
          <w:rFonts w:ascii="Calibri" w:eastAsia="Times New Roman" w:hAnsi="Calibri" w:cs="Calibri"/>
          <w:lang w:eastAsia="en-GB"/>
        </w:rPr>
      </w:pPr>
      <w:r w:rsidRPr="001926F3">
        <w:t xml:space="preserve">Do you agree or disagree with MHRA’s expectations of manufacturers/developers surrounding around the information to be provided by them for patients, healthcare professionals and the public in section 8 of the draft guidance? </w:t>
      </w:r>
    </w:p>
    <w:p w14:paraId="43CB6CAD" w14:textId="77777777" w:rsidR="003355F6" w:rsidRPr="003355F6" w:rsidRDefault="003355F6" w:rsidP="003355F6">
      <w:pPr>
        <w:pStyle w:val="ListParagraph"/>
        <w:spacing w:after="0" w:line="240" w:lineRule="auto"/>
        <w:rPr>
          <w:rFonts w:eastAsia="Times New Roman" w:cstheme="minorHAnsi"/>
          <w:color w:val="0070C0"/>
          <w:lang w:eastAsia="en-GB"/>
        </w:rPr>
      </w:pPr>
      <w:r w:rsidRPr="003355F6">
        <w:rPr>
          <w:rFonts w:eastAsia="Times New Roman" w:cstheme="minorHAnsi"/>
          <w:color w:val="0070C0"/>
          <w:lang w:eastAsia="en-GB"/>
        </w:rPr>
        <w:t>In support of section 8 about the information to be provided for patients, healthcare professionals and the public. Specifically early access to good quality information communicated in the most appropriate way to each group.  It</w:t>
      </w:r>
      <w:r w:rsidRPr="003355F6">
        <w:rPr>
          <w:rFonts w:cstheme="minorHAnsi"/>
          <w:color w:val="0070C0"/>
        </w:rPr>
        <w:t xml:space="preserve"> will also be important to provide information for patients, about measures taken to protect the security of the genomic data –this could well be something patients are concerned about.</w:t>
      </w:r>
    </w:p>
    <w:p w14:paraId="6496A070" w14:textId="77777777" w:rsidR="00F5076E" w:rsidRDefault="00F5076E" w:rsidP="00F5076E">
      <w:pPr>
        <w:pStyle w:val="ListParagraph"/>
      </w:pPr>
    </w:p>
    <w:p w14:paraId="22909D47" w14:textId="77777777" w:rsidR="00017880" w:rsidRDefault="00017880" w:rsidP="00017880">
      <w:pPr>
        <w:pStyle w:val="ListParagraph"/>
        <w:numPr>
          <w:ilvl w:val="0"/>
          <w:numId w:val="34"/>
        </w:numPr>
      </w:pPr>
      <w:r w:rsidRPr="00295CF2">
        <w:t>At the time of cancer diagnosis, patients may receive lots of information in a short space of time and be asked to make decisions on treatment options.</w:t>
      </w:r>
    </w:p>
    <w:p w14:paraId="20EE7879" w14:textId="77777777" w:rsidR="00017880" w:rsidRDefault="00017880" w:rsidP="00017880">
      <w:pPr>
        <w:pStyle w:val="ListParagraph"/>
        <w:numPr>
          <w:ilvl w:val="1"/>
          <w:numId w:val="34"/>
        </w:numPr>
      </w:pPr>
      <w:r w:rsidRPr="00295CF2">
        <w:t xml:space="preserve">If an individualised mRNA cancer immunotherapy is to be offered as a treatment option, what type of information do you think should be provided to support a patient in their </w:t>
      </w:r>
      <w:proofErr w:type="gramStart"/>
      <w:r w:rsidRPr="00295CF2">
        <w:t>decision making</w:t>
      </w:r>
      <w:proofErr w:type="gramEnd"/>
      <w:r w:rsidRPr="00295CF2">
        <w:t xml:space="preserve"> process?</w:t>
      </w:r>
    </w:p>
    <w:p w14:paraId="5C2D1BAF" w14:textId="77777777" w:rsidR="003355F6" w:rsidRDefault="003355F6" w:rsidP="003355F6">
      <w:pPr>
        <w:pStyle w:val="ListParagraph"/>
        <w:ind w:left="1440"/>
        <w:rPr>
          <w:color w:val="0070C0"/>
        </w:rPr>
      </w:pPr>
      <w:r w:rsidRPr="00DA7EB2">
        <w:rPr>
          <w:b/>
          <w:bCs/>
          <w:color w:val="0070C0"/>
        </w:rPr>
        <w:t xml:space="preserve">Patient views are obviously key in determining this. </w:t>
      </w:r>
      <w:r w:rsidRPr="00DC55DA">
        <w:rPr>
          <w:color w:val="0070C0"/>
        </w:rPr>
        <w:t xml:space="preserve">Written information </w:t>
      </w:r>
      <w:proofErr w:type="gramStart"/>
      <w:r w:rsidRPr="00DC55DA">
        <w:rPr>
          <w:color w:val="0070C0"/>
        </w:rPr>
        <w:t>and also</w:t>
      </w:r>
      <w:proofErr w:type="gramEnd"/>
      <w:r w:rsidRPr="00DC55DA">
        <w:rPr>
          <w:color w:val="0070C0"/>
        </w:rPr>
        <w:t xml:space="preserve"> access to infographics and ideally a video</w:t>
      </w:r>
      <w:r>
        <w:rPr>
          <w:color w:val="0070C0"/>
        </w:rPr>
        <w:t>,</w:t>
      </w:r>
      <w:r w:rsidRPr="00DC55DA">
        <w:rPr>
          <w:color w:val="0070C0"/>
        </w:rPr>
        <w:t xml:space="preserve"> that can be consulted when required.  </w:t>
      </w:r>
      <w:proofErr w:type="gramStart"/>
      <w:r w:rsidRPr="00DA7EB2">
        <w:rPr>
          <w:b/>
          <w:bCs/>
          <w:color w:val="0070C0"/>
        </w:rPr>
        <w:t>All of</w:t>
      </w:r>
      <w:proofErr w:type="gramEnd"/>
      <w:r w:rsidRPr="00DA7EB2">
        <w:rPr>
          <w:b/>
          <w:bCs/>
          <w:color w:val="0070C0"/>
        </w:rPr>
        <w:t xml:space="preserve"> these resources should be co-developed with patients and the public.</w:t>
      </w:r>
    </w:p>
    <w:p w14:paraId="498BF31F" w14:textId="77777777" w:rsidR="003355F6" w:rsidRPr="00DA7EB2" w:rsidRDefault="003355F6" w:rsidP="003355F6">
      <w:pPr>
        <w:pStyle w:val="ListParagraph"/>
        <w:numPr>
          <w:ilvl w:val="2"/>
          <w:numId w:val="34"/>
        </w:numPr>
        <w:ind w:left="2340" w:hanging="360"/>
        <w:rPr>
          <w:color w:val="0070C0"/>
        </w:rPr>
      </w:pPr>
      <w:r w:rsidRPr="00DA7EB2">
        <w:rPr>
          <w:color w:val="0070C0"/>
        </w:rPr>
        <w:t>Mechanism of action: A simplified explanation of how the therapy works (e.g., how it trains the immune system to recognise and attack cancer cells).</w:t>
      </w:r>
    </w:p>
    <w:p w14:paraId="18FAD158" w14:textId="77777777" w:rsidR="003355F6" w:rsidRPr="00DA7EB2" w:rsidRDefault="003355F6" w:rsidP="003355F6">
      <w:pPr>
        <w:pStyle w:val="ListParagraph"/>
        <w:ind w:left="2340"/>
        <w:rPr>
          <w:color w:val="0070C0"/>
        </w:rPr>
      </w:pPr>
    </w:p>
    <w:p w14:paraId="693DD1B7" w14:textId="77777777" w:rsidR="003355F6" w:rsidRPr="00DA7EB2" w:rsidRDefault="003355F6" w:rsidP="003355F6">
      <w:pPr>
        <w:pStyle w:val="ListParagraph"/>
        <w:numPr>
          <w:ilvl w:val="2"/>
          <w:numId w:val="34"/>
        </w:numPr>
        <w:ind w:left="2340" w:hanging="360"/>
        <w:rPr>
          <w:color w:val="0070C0"/>
        </w:rPr>
      </w:pPr>
      <w:r w:rsidRPr="00DA7EB2">
        <w:rPr>
          <w:color w:val="0070C0"/>
        </w:rPr>
        <w:t>Personalisation process and variability: An overview of how the therapy is tailored to the patient, including steps such as tumour sequencing, model development, and manufacturing. Patients should be informed that due to the personalised nature, there may be variability in effectiveness and response between individuals.</w:t>
      </w:r>
    </w:p>
    <w:p w14:paraId="03A354E4" w14:textId="77777777" w:rsidR="003355F6" w:rsidRPr="00DA7EB2" w:rsidRDefault="003355F6" w:rsidP="003355F6">
      <w:pPr>
        <w:pStyle w:val="ListParagraph"/>
        <w:ind w:left="2340"/>
        <w:rPr>
          <w:color w:val="0070C0"/>
        </w:rPr>
      </w:pPr>
    </w:p>
    <w:p w14:paraId="2BFC6886" w14:textId="77777777" w:rsidR="003355F6" w:rsidRPr="00DA7EB2" w:rsidRDefault="003355F6" w:rsidP="003355F6">
      <w:pPr>
        <w:pStyle w:val="ListParagraph"/>
        <w:numPr>
          <w:ilvl w:val="2"/>
          <w:numId w:val="34"/>
        </w:numPr>
        <w:ind w:left="2340" w:hanging="360"/>
        <w:rPr>
          <w:color w:val="0070C0"/>
        </w:rPr>
      </w:pPr>
      <w:r w:rsidRPr="00DA7EB2">
        <w:rPr>
          <w:color w:val="0070C0"/>
        </w:rPr>
        <w:t>Expected benefits and uncertainties: Realistic information on the anticipated effectiveness, along with the current limitations or uncertainties, especially considering potential for individual variation.</w:t>
      </w:r>
    </w:p>
    <w:p w14:paraId="0D42B147" w14:textId="77777777" w:rsidR="003355F6" w:rsidRPr="00DA7EB2" w:rsidRDefault="003355F6" w:rsidP="003355F6">
      <w:pPr>
        <w:pStyle w:val="ListParagraph"/>
        <w:ind w:left="2340"/>
        <w:rPr>
          <w:color w:val="0070C0"/>
        </w:rPr>
      </w:pPr>
    </w:p>
    <w:p w14:paraId="5297A70A" w14:textId="77777777" w:rsidR="003355F6" w:rsidRPr="00DA7EB2" w:rsidRDefault="003355F6" w:rsidP="003355F6">
      <w:pPr>
        <w:pStyle w:val="ListParagraph"/>
        <w:numPr>
          <w:ilvl w:val="2"/>
          <w:numId w:val="34"/>
        </w:numPr>
        <w:ind w:left="2340" w:hanging="360"/>
        <w:rPr>
          <w:color w:val="0070C0"/>
        </w:rPr>
      </w:pPr>
      <w:r w:rsidRPr="00DA7EB2">
        <w:rPr>
          <w:color w:val="0070C0"/>
        </w:rPr>
        <w:t>Potential side effects and risks: Clear details on possible adverse effects, as well as any long-term risks that are still being evaluated and the plans in place to do so.</w:t>
      </w:r>
    </w:p>
    <w:p w14:paraId="1EF017F5" w14:textId="77777777" w:rsidR="003355F6" w:rsidRPr="00DA7EB2" w:rsidRDefault="003355F6" w:rsidP="003355F6">
      <w:pPr>
        <w:pStyle w:val="ListParagraph"/>
        <w:ind w:left="2340"/>
        <w:rPr>
          <w:color w:val="0070C0"/>
        </w:rPr>
      </w:pPr>
    </w:p>
    <w:p w14:paraId="7BD3C600" w14:textId="77777777" w:rsidR="003355F6" w:rsidRPr="00DA7EB2" w:rsidRDefault="003355F6" w:rsidP="003355F6">
      <w:pPr>
        <w:pStyle w:val="ListParagraph"/>
        <w:numPr>
          <w:ilvl w:val="2"/>
          <w:numId w:val="34"/>
        </w:numPr>
        <w:ind w:left="2340" w:hanging="360"/>
        <w:rPr>
          <w:color w:val="0070C0"/>
        </w:rPr>
      </w:pPr>
      <w:r w:rsidRPr="00DA7EB2">
        <w:rPr>
          <w:color w:val="0070C0"/>
        </w:rPr>
        <w:t>Treatment timelines: Information on the expected duration of the process, from tissue collection to administration, including any wait times or potential delays and how these could affect their outcomes.</w:t>
      </w:r>
    </w:p>
    <w:p w14:paraId="065FF074" w14:textId="77777777" w:rsidR="003355F6" w:rsidRPr="00DA7EB2" w:rsidRDefault="003355F6" w:rsidP="003355F6">
      <w:pPr>
        <w:pStyle w:val="ListParagraph"/>
        <w:ind w:left="2340"/>
        <w:rPr>
          <w:color w:val="0070C0"/>
        </w:rPr>
      </w:pPr>
    </w:p>
    <w:p w14:paraId="29984EC2" w14:textId="77777777" w:rsidR="003355F6" w:rsidRPr="00DA7EB2" w:rsidRDefault="003355F6" w:rsidP="003355F6">
      <w:pPr>
        <w:pStyle w:val="ListParagraph"/>
        <w:numPr>
          <w:ilvl w:val="2"/>
          <w:numId w:val="34"/>
        </w:numPr>
        <w:ind w:left="2340" w:hanging="360"/>
        <w:rPr>
          <w:color w:val="0070C0"/>
        </w:rPr>
      </w:pPr>
      <w:r w:rsidRPr="00DA7EB2">
        <w:rPr>
          <w:color w:val="0070C0"/>
        </w:rPr>
        <w:t>Alternative options: A balanced comparison with other available treatments, including standard therapies or clinical trial opportunities, to help patients consider all options.</w:t>
      </w:r>
    </w:p>
    <w:p w14:paraId="5312404B" w14:textId="77777777" w:rsidR="003355F6" w:rsidRPr="00DA7EB2" w:rsidRDefault="003355F6" w:rsidP="003355F6">
      <w:pPr>
        <w:pStyle w:val="ListParagraph"/>
        <w:ind w:left="2340"/>
        <w:rPr>
          <w:color w:val="0070C0"/>
        </w:rPr>
      </w:pPr>
    </w:p>
    <w:p w14:paraId="7E395296" w14:textId="77777777" w:rsidR="003355F6" w:rsidRPr="00DA7EB2" w:rsidRDefault="003355F6" w:rsidP="003355F6">
      <w:pPr>
        <w:pStyle w:val="ListParagraph"/>
        <w:numPr>
          <w:ilvl w:val="2"/>
          <w:numId w:val="34"/>
        </w:numPr>
        <w:ind w:left="2340" w:hanging="360"/>
        <w:rPr>
          <w:color w:val="0070C0"/>
        </w:rPr>
      </w:pPr>
      <w:r w:rsidRPr="00DA7EB2">
        <w:rPr>
          <w:color w:val="0070C0"/>
        </w:rPr>
        <w:t>Follow-up and monitoring: Details on post-treatment monitoring, including how safety and effectiveness will be tracked over time.</w:t>
      </w:r>
    </w:p>
    <w:p w14:paraId="2DF2F1A5" w14:textId="77777777" w:rsidR="003355F6" w:rsidRDefault="003355F6" w:rsidP="003355F6">
      <w:pPr>
        <w:pStyle w:val="ListParagraph"/>
        <w:ind w:left="1440"/>
      </w:pPr>
    </w:p>
    <w:p w14:paraId="77907EF7" w14:textId="77777777" w:rsidR="00017880" w:rsidRDefault="00017880" w:rsidP="00017880">
      <w:pPr>
        <w:pStyle w:val="ListParagraph"/>
        <w:numPr>
          <w:ilvl w:val="1"/>
          <w:numId w:val="34"/>
        </w:numPr>
      </w:pPr>
      <w:r w:rsidRPr="00295CF2">
        <w:t xml:space="preserve">If an individualised mRNA cancer immunotherapy is to be offered as a treatment option, what would be the best format for the information provided to support a patient in their </w:t>
      </w:r>
      <w:proofErr w:type="gramStart"/>
      <w:r w:rsidRPr="00295CF2">
        <w:t>decision making</w:t>
      </w:r>
      <w:proofErr w:type="gramEnd"/>
      <w:r w:rsidRPr="00295CF2">
        <w:t xml:space="preserve"> process?</w:t>
      </w:r>
    </w:p>
    <w:p w14:paraId="02C6855B" w14:textId="77777777" w:rsidR="003355F6" w:rsidRPr="00E12FEB" w:rsidRDefault="003355F6" w:rsidP="003355F6">
      <w:pPr>
        <w:pStyle w:val="ListParagraph"/>
        <w:ind w:left="1440"/>
        <w:rPr>
          <w:color w:val="0070C0"/>
        </w:rPr>
      </w:pPr>
      <w:r w:rsidRPr="00DC55DA">
        <w:rPr>
          <w:color w:val="0070C0"/>
        </w:rPr>
        <w:t xml:space="preserve">Patients are best placed to provide their opinion on this. Information should be provided in a variety of </w:t>
      </w:r>
      <w:r w:rsidRPr="00E12FEB">
        <w:rPr>
          <w:color w:val="0070C0"/>
        </w:rPr>
        <w:t>formats, as described above.</w:t>
      </w:r>
    </w:p>
    <w:p w14:paraId="2145F5B3" w14:textId="77777777" w:rsidR="003355F6" w:rsidRDefault="003355F6" w:rsidP="003355F6">
      <w:pPr>
        <w:pStyle w:val="ListParagraph"/>
        <w:numPr>
          <w:ilvl w:val="2"/>
          <w:numId w:val="34"/>
        </w:numPr>
        <w:ind w:left="2340" w:hanging="360"/>
        <w:rPr>
          <w:color w:val="0070C0"/>
        </w:rPr>
      </w:pPr>
      <w:r w:rsidRPr="00E12FEB">
        <w:rPr>
          <w:color w:val="0070C0"/>
        </w:rPr>
        <w:t xml:space="preserve">A video with infographics explaining the manufacturing process, may be helpful, as it is quite complex to be given purely as written information.  A QR code, could be </w:t>
      </w:r>
      <w:r w:rsidRPr="00E12FEB">
        <w:rPr>
          <w:color w:val="0070C0"/>
        </w:rPr>
        <w:lastRenderedPageBreak/>
        <w:t>used on a PIL, to allow the video to be accessed, but this may limit access for certain groups of patients</w:t>
      </w:r>
    </w:p>
    <w:p w14:paraId="463F3AFB" w14:textId="7FE57853" w:rsidR="003355F6" w:rsidRPr="003355F6" w:rsidRDefault="003355F6" w:rsidP="003355F6">
      <w:pPr>
        <w:pStyle w:val="ListParagraph"/>
        <w:numPr>
          <w:ilvl w:val="2"/>
          <w:numId w:val="34"/>
        </w:numPr>
        <w:ind w:left="2340" w:hanging="360"/>
        <w:rPr>
          <w:color w:val="0070C0"/>
        </w:rPr>
      </w:pPr>
      <w:r w:rsidRPr="003355F6">
        <w:rPr>
          <w:color w:val="0070C0"/>
        </w:rPr>
        <w:t>Other elements that are more standard, e.g. side effects, alternatives and follow up, could be provided in a standard format, but with clear guidelines to HCP on the need for thorough counselling of options, specific to the patient</w:t>
      </w:r>
    </w:p>
    <w:p w14:paraId="7D63AEBB" w14:textId="1F8B8377" w:rsidR="00017880" w:rsidRDefault="00017880" w:rsidP="00017880">
      <w:pPr>
        <w:pStyle w:val="ListParagraph"/>
        <w:numPr>
          <w:ilvl w:val="1"/>
          <w:numId w:val="34"/>
        </w:numPr>
      </w:pPr>
      <w:r w:rsidRPr="00295CF2">
        <w:t xml:space="preserve">If an individualised mRNA cancer immunotherapy is to be offered as a treatment option, when is the most appropriate time to provide the information to support a patient in their </w:t>
      </w:r>
      <w:proofErr w:type="gramStart"/>
      <w:r w:rsidRPr="00295CF2">
        <w:t>decision making</w:t>
      </w:r>
      <w:proofErr w:type="gramEnd"/>
      <w:r w:rsidRPr="00295CF2">
        <w:t xml:space="preserve"> process?</w:t>
      </w:r>
    </w:p>
    <w:p w14:paraId="03F9204A" w14:textId="77777777" w:rsidR="003355F6" w:rsidRDefault="003355F6" w:rsidP="003355F6">
      <w:pPr>
        <w:pStyle w:val="ListParagraph"/>
        <w:ind w:firstLine="720"/>
        <w:rPr>
          <w:color w:val="0070C0"/>
        </w:rPr>
      </w:pPr>
      <w:r w:rsidRPr="00DA7EB2">
        <w:rPr>
          <w:b/>
          <w:bCs/>
          <w:color w:val="0070C0"/>
        </w:rPr>
        <w:t>Patient and public views should be considered on this point, as above.</w:t>
      </w:r>
      <w:r w:rsidRPr="00DC55DA">
        <w:rPr>
          <w:color w:val="0070C0"/>
        </w:rPr>
        <w:t xml:space="preserve"> </w:t>
      </w:r>
    </w:p>
    <w:p w14:paraId="67650C8A" w14:textId="06EE4092" w:rsidR="003355F6" w:rsidRPr="00577B59" w:rsidRDefault="003355F6" w:rsidP="003355F6">
      <w:pPr>
        <w:pStyle w:val="ListParagraph"/>
        <w:ind w:left="1440"/>
        <w:rPr>
          <w:color w:val="0070C0"/>
        </w:rPr>
      </w:pPr>
      <w:r w:rsidRPr="00DA7EB2">
        <w:rPr>
          <w:color w:val="0070C0"/>
        </w:rPr>
        <w:t>Information should be provided as early as possible to support patient decision-making, with the ability to re-access information</w:t>
      </w:r>
      <w:r>
        <w:rPr>
          <w:color w:val="0070C0"/>
        </w:rPr>
        <w:t xml:space="preserve"> and HCP expertise</w:t>
      </w:r>
      <w:r w:rsidRPr="00DA7EB2">
        <w:rPr>
          <w:color w:val="0070C0"/>
        </w:rPr>
        <w:t xml:space="preserve"> </w:t>
      </w:r>
      <w:proofErr w:type="gramStart"/>
      <w:r w:rsidRPr="00DA7EB2">
        <w:rPr>
          <w:color w:val="0070C0"/>
        </w:rPr>
        <w:t>at a later date</w:t>
      </w:r>
      <w:proofErr w:type="gramEnd"/>
      <w:r>
        <w:rPr>
          <w:color w:val="0070C0"/>
        </w:rPr>
        <w:t>,</w:t>
      </w:r>
      <w:r w:rsidRPr="00DA7EB2">
        <w:rPr>
          <w:color w:val="0070C0"/>
        </w:rPr>
        <w:t xml:space="preserve"> if desired. As with other personalised medicines, it is likely to require two steps of consent (for tumour sampling to be</w:t>
      </w:r>
      <w:r>
        <w:rPr>
          <w:color w:val="0070C0"/>
        </w:rPr>
        <w:t xml:space="preserve">gin the </w:t>
      </w:r>
      <w:r w:rsidRPr="00DA7EB2">
        <w:rPr>
          <w:color w:val="0070C0"/>
        </w:rPr>
        <w:t>manufacturing</w:t>
      </w:r>
      <w:r>
        <w:rPr>
          <w:color w:val="0070C0"/>
        </w:rPr>
        <w:t xml:space="preserve"> process</w:t>
      </w:r>
      <w:r w:rsidRPr="00DA7EB2">
        <w:rPr>
          <w:color w:val="0070C0"/>
        </w:rPr>
        <w:t xml:space="preserve"> and then prior to administering</w:t>
      </w:r>
      <w:r>
        <w:rPr>
          <w:color w:val="0070C0"/>
        </w:rPr>
        <w:t xml:space="preserve"> mRNA immunotherapy</w:t>
      </w:r>
      <w:r w:rsidRPr="00DA7EB2">
        <w:rPr>
          <w:color w:val="0070C0"/>
        </w:rPr>
        <w:t xml:space="preserve"> treatment).  Comprehensive patient information will be required at both stages</w:t>
      </w:r>
      <w:r>
        <w:rPr>
          <w:color w:val="0070C0"/>
        </w:rPr>
        <w:t xml:space="preserve"> to ensure informed consent</w:t>
      </w:r>
      <w:r w:rsidRPr="00DA7EB2">
        <w:rPr>
          <w:color w:val="0070C0"/>
        </w:rPr>
        <w:t xml:space="preserve">. This </w:t>
      </w:r>
      <w:proofErr w:type="spellStart"/>
      <w:r w:rsidRPr="00DA7EB2">
        <w:rPr>
          <w:color w:val="0070C0"/>
        </w:rPr>
        <w:t>two step</w:t>
      </w:r>
      <w:proofErr w:type="spellEnd"/>
      <w:r w:rsidRPr="00DA7EB2">
        <w:rPr>
          <w:color w:val="0070C0"/>
        </w:rPr>
        <w:t xml:space="preserve"> </w:t>
      </w:r>
      <w:r>
        <w:rPr>
          <w:color w:val="0070C0"/>
        </w:rPr>
        <w:t xml:space="preserve">consent </w:t>
      </w:r>
      <w:r w:rsidRPr="00DA7EB2">
        <w:rPr>
          <w:color w:val="0070C0"/>
        </w:rPr>
        <w:t>process will also give patients more time to review the complex information, ask questions, and discuss the treatment and alternatives thoroughly with their oncology team</w:t>
      </w:r>
      <w:r>
        <w:rPr>
          <w:color w:val="0070C0"/>
        </w:rPr>
        <w:t>, without feeling rushed.</w:t>
      </w:r>
    </w:p>
    <w:p w14:paraId="30591269" w14:textId="77777777" w:rsidR="001926F3" w:rsidRPr="00DC55DA" w:rsidRDefault="001926F3" w:rsidP="00DC55DA">
      <w:pPr>
        <w:pStyle w:val="ListParagraph"/>
        <w:ind w:left="1440"/>
        <w:rPr>
          <w:color w:val="0070C0"/>
        </w:rPr>
      </w:pPr>
    </w:p>
    <w:p w14:paraId="74333670" w14:textId="77777777" w:rsidR="00017880" w:rsidRDefault="00017880" w:rsidP="00017880">
      <w:pPr>
        <w:pStyle w:val="ListParagraph"/>
        <w:numPr>
          <w:ilvl w:val="0"/>
          <w:numId w:val="34"/>
        </w:numPr>
      </w:pPr>
      <w:r w:rsidRPr="00295CF2">
        <w:t>Please provide any additional comments or suggestions you may have on providing information to patients, health and care professionals and the public as outlined in section 8 of the draft guidance.</w:t>
      </w:r>
    </w:p>
    <w:p w14:paraId="6BBC664A" w14:textId="77777777" w:rsidR="00017880" w:rsidRPr="0030313B" w:rsidRDefault="00017880" w:rsidP="00017880">
      <w:pPr>
        <w:rPr>
          <w:b/>
          <w:bCs/>
          <w:u w:val="single"/>
        </w:rPr>
      </w:pPr>
      <w:r w:rsidRPr="0030313B">
        <w:rPr>
          <w:b/>
          <w:bCs/>
          <w:u w:val="single"/>
        </w:rPr>
        <w:t>Supplementary information</w:t>
      </w:r>
    </w:p>
    <w:p w14:paraId="35AD0B9C" w14:textId="77777777" w:rsidR="00017880" w:rsidRDefault="00017880" w:rsidP="00017880">
      <w:pPr>
        <w:pStyle w:val="ListParagraph"/>
        <w:numPr>
          <w:ilvl w:val="0"/>
          <w:numId w:val="34"/>
        </w:numPr>
      </w:pPr>
      <w:r w:rsidRPr="00295CF2">
        <w:t>Please provide any additional comments or feedback you may have on the regulatory approaches to mRNA cancer immunotherapies provided in this draft guidance, and any suggestions for alternative regulatory approaches.</w:t>
      </w:r>
    </w:p>
    <w:p w14:paraId="503DCAA1" w14:textId="77777777" w:rsidR="00017880" w:rsidRDefault="00017880" w:rsidP="00017880">
      <w:pPr>
        <w:pStyle w:val="Report-Heading1"/>
        <w:sectPr w:rsidR="00017880" w:rsidSect="00B31C21">
          <w:headerReference w:type="even" r:id="rId10"/>
          <w:headerReference w:type="default" r:id="rId11"/>
          <w:footerReference w:type="even" r:id="rId12"/>
          <w:footerReference w:type="default" r:id="rId13"/>
          <w:headerReference w:type="first" r:id="rId14"/>
          <w:footerReference w:type="first" r:id="rId15"/>
          <w:pgSz w:w="11900" w:h="16840" w:code="9"/>
          <w:pgMar w:top="2693" w:right="1021" w:bottom="1418" w:left="1021" w:header="709" w:footer="340" w:gutter="0"/>
          <w:cols w:space="708"/>
          <w:docGrid w:linePitch="360"/>
        </w:sectPr>
      </w:pPr>
    </w:p>
    <w:p w14:paraId="763FA830" w14:textId="77777777" w:rsidR="00017880" w:rsidRPr="00BC0E70" w:rsidRDefault="00017880" w:rsidP="00017880"/>
    <w:p w14:paraId="6D93676A" w14:textId="09C18EE5" w:rsidR="002C6AF9" w:rsidRDefault="002C6AF9" w:rsidP="00017880"/>
    <w:sectPr w:rsidR="002C6AF9" w:rsidSect="00B31C21">
      <w:headerReference w:type="even" r:id="rId16"/>
      <w:headerReference w:type="default" r:id="rId17"/>
      <w:footerReference w:type="even" r:id="rId18"/>
      <w:footerReference w:type="default" r:id="rId19"/>
      <w:footerReference w:type="first" r:id="rId20"/>
      <w:type w:val="continuous"/>
      <w:pgSz w:w="11900" w:h="16840" w:code="9"/>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3435" w14:textId="77777777" w:rsidR="00D712E5" w:rsidRDefault="00D712E5" w:rsidP="00121ECE">
      <w:r>
        <w:separator/>
      </w:r>
    </w:p>
  </w:endnote>
  <w:endnote w:type="continuationSeparator" w:id="0">
    <w:p w14:paraId="41FBEDB4" w14:textId="77777777" w:rsidR="00D712E5" w:rsidRDefault="00D712E5"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164EA3E4" w14:textId="77777777" w:rsidTr="76C09FFD">
      <w:trPr>
        <w:trHeight w:val="300"/>
      </w:trPr>
      <w:tc>
        <w:tcPr>
          <w:tcW w:w="3285" w:type="dxa"/>
        </w:tcPr>
        <w:p w14:paraId="53868238" w14:textId="1BEC47BD" w:rsidR="76C09FFD" w:rsidRDefault="76C09FFD" w:rsidP="76C09FFD">
          <w:pPr>
            <w:pStyle w:val="Header"/>
            <w:ind w:left="-115"/>
          </w:pPr>
        </w:p>
      </w:tc>
      <w:tc>
        <w:tcPr>
          <w:tcW w:w="3285" w:type="dxa"/>
        </w:tcPr>
        <w:p w14:paraId="3C92EFEA" w14:textId="29E7BD8E" w:rsidR="76C09FFD" w:rsidRDefault="76C09FFD" w:rsidP="76C09FFD">
          <w:pPr>
            <w:pStyle w:val="Header"/>
            <w:jc w:val="center"/>
          </w:pPr>
        </w:p>
      </w:tc>
      <w:tc>
        <w:tcPr>
          <w:tcW w:w="3285" w:type="dxa"/>
        </w:tcPr>
        <w:p w14:paraId="49D7A82A" w14:textId="3B57880D" w:rsidR="76C09FFD" w:rsidRDefault="76C09FFD" w:rsidP="76C09FFD">
          <w:pPr>
            <w:pStyle w:val="Header"/>
            <w:ind w:right="-115"/>
            <w:jc w:val="right"/>
          </w:pPr>
        </w:p>
      </w:tc>
    </w:tr>
  </w:tbl>
  <w:p w14:paraId="38CC57F4" w14:textId="68F78054" w:rsidR="76C09FFD" w:rsidRDefault="76C09FFD" w:rsidP="76C09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333007EC" w14:textId="77777777" w:rsidTr="76C09FFD">
      <w:trPr>
        <w:trHeight w:val="300"/>
      </w:trPr>
      <w:tc>
        <w:tcPr>
          <w:tcW w:w="3285" w:type="dxa"/>
        </w:tcPr>
        <w:p w14:paraId="61A36EA9" w14:textId="4D9F2D3E" w:rsidR="76C09FFD" w:rsidRDefault="76C09FFD" w:rsidP="76C09FFD">
          <w:pPr>
            <w:pStyle w:val="Header"/>
            <w:ind w:left="-115"/>
          </w:pPr>
        </w:p>
      </w:tc>
      <w:tc>
        <w:tcPr>
          <w:tcW w:w="3285" w:type="dxa"/>
        </w:tcPr>
        <w:p w14:paraId="3694E02E" w14:textId="4432503F" w:rsidR="76C09FFD" w:rsidRDefault="76C09FFD" w:rsidP="76C09FFD">
          <w:pPr>
            <w:pStyle w:val="Header"/>
            <w:jc w:val="center"/>
          </w:pPr>
        </w:p>
      </w:tc>
      <w:tc>
        <w:tcPr>
          <w:tcW w:w="3285" w:type="dxa"/>
        </w:tcPr>
        <w:p w14:paraId="10EE49CE" w14:textId="7B122DB3" w:rsidR="76C09FFD" w:rsidRDefault="76C09FFD" w:rsidP="76C09FFD">
          <w:pPr>
            <w:pStyle w:val="Header"/>
            <w:ind w:right="-115"/>
            <w:jc w:val="right"/>
          </w:pPr>
        </w:p>
      </w:tc>
    </w:tr>
  </w:tbl>
  <w:p w14:paraId="1D019474" w14:textId="1D4E6BC0" w:rsidR="76C09FFD" w:rsidRDefault="76C09FFD" w:rsidP="76C09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21744EF4" w14:textId="77777777" w:rsidTr="76C09FFD">
      <w:trPr>
        <w:trHeight w:val="300"/>
      </w:trPr>
      <w:tc>
        <w:tcPr>
          <w:tcW w:w="3285" w:type="dxa"/>
        </w:tcPr>
        <w:p w14:paraId="2D2E5293" w14:textId="42AAC69E" w:rsidR="76C09FFD" w:rsidRDefault="76C09FFD" w:rsidP="76C09FFD">
          <w:pPr>
            <w:pStyle w:val="Header"/>
            <w:ind w:left="-115"/>
          </w:pPr>
        </w:p>
      </w:tc>
      <w:tc>
        <w:tcPr>
          <w:tcW w:w="3285" w:type="dxa"/>
        </w:tcPr>
        <w:p w14:paraId="346A0A55" w14:textId="44D76159" w:rsidR="76C09FFD" w:rsidRDefault="76C09FFD" w:rsidP="76C09FFD">
          <w:pPr>
            <w:pStyle w:val="Header"/>
            <w:jc w:val="center"/>
          </w:pPr>
        </w:p>
      </w:tc>
      <w:tc>
        <w:tcPr>
          <w:tcW w:w="3285" w:type="dxa"/>
        </w:tcPr>
        <w:p w14:paraId="6576A3AC" w14:textId="7FD4DADA" w:rsidR="76C09FFD" w:rsidRDefault="76C09FFD" w:rsidP="76C09FFD">
          <w:pPr>
            <w:pStyle w:val="Header"/>
            <w:ind w:right="-115"/>
            <w:jc w:val="right"/>
          </w:pPr>
        </w:p>
      </w:tc>
    </w:tr>
  </w:tbl>
  <w:p w14:paraId="600E690D" w14:textId="117169D1" w:rsidR="76C09FFD" w:rsidRDefault="76C09FFD" w:rsidP="76C09F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19382C5B" w14:textId="77777777" w:rsidTr="76C09FFD">
      <w:trPr>
        <w:trHeight w:val="300"/>
      </w:trPr>
      <w:tc>
        <w:tcPr>
          <w:tcW w:w="3285" w:type="dxa"/>
        </w:tcPr>
        <w:p w14:paraId="09DE0CFB" w14:textId="3B0EA558" w:rsidR="76C09FFD" w:rsidRDefault="76C09FFD" w:rsidP="76C09FFD">
          <w:pPr>
            <w:pStyle w:val="Header"/>
            <w:ind w:left="-115"/>
          </w:pPr>
        </w:p>
      </w:tc>
      <w:tc>
        <w:tcPr>
          <w:tcW w:w="3285" w:type="dxa"/>
        </w:tcPr>
        <w:p w14:paraId="4B919217" w14:textId="7C686F99" w:rsidR="76C09FFD" w:rsidRDefault="76C09FFD" w:rsidP="76C09FFD">
          <w:pPr>
            <w:pStyle w:val="Header"/>
            <w:jc w:val="center"/>
          </w:pPr>
        </w:p>
      </w:tc>
      <w:tc>
        <w:tcPr>
          <w:tcW w:w="3285" w:type="dxa"/>
        </w:tcPr>
        <w:p w14:paraId="5C050D76" w14:textId="4CAD2414" w:rsidR="76C09FFD" w:rsidRDefault="76C09FFD" w:rsidP="76C09FFD">
          <w:pPr>
            <w:pStyle w:val="Header"/>
            <w:ind w:right="-115"/>
            <w:jc w:val="right"/>
          </w:pPr>
        </w:p>
      </w:tc>
    </w:tr>
  </w:tbl>
  <w:p w14:paraId="0802740B" w14:textId="082CA984" w:rsidR="76C09FFD" w:rsidRDefault="76C09FFD" w:rsidP="76C09F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3DD3D5BC" w14:textId="77777777" w:rsidTr="76C09FFD">
      <w:trPr>
        <w:trHeight w:val="300"/>
      </w:trPr>
      <w:tc>
        <w:tcPr>
          <w:tcW w:w="3285" w:type="dxa"/>
        </w:tcPr>
        <w:p w14:paraId="7E950F63" w14:textId="1E72B2BB" w:rsidR="76C09FFD" w:rsidRDefault="76C09FFD" w:rsidP="76C09FFD">
          <w:pPr>
            <w:pStyle w:val="Header"/>
            <w:ind w:left="-115"/>
          </w:pPr>
        </w:p>
      </w:tc>
      <w:tc>
        <w:tcPr>
          <w:tcW w:w="3285" w:type="dxa"/>
        </w:tcPr>
        <w:p w14:paraId="11605FED" w14:textId="6C9FEE08" w:rsidR="76C09FFD" w:rsidRDefault="76C09FFD" w:rsidP="76C09FFD">
          <w:pPr>
            <w:pStyle w:val="Header"/>
            <w:jc w:val="center"/>
          </w:pPr>
        </w:p>
      </w:tc>
      <w:tc>
        <w:tcPr>
          <w:tcW w:w="3285" w:type="dxa"/>
        </w:tcPr>
        <w:p w14:paraId="29A19ADF" w14:textId="1AF5FB32" w:rsidR="76C09FFD" w:rsidRDefault="76C09FFD" w:rsidP="76C09FFD">
          <w:pPr>
            <w:pStyle w:val="Header"/>
            <w:ind w:right="-115"/>
            <w:jc w:val="right"/>
          </w:pPr>
        </w:p>
      </w:tc>
    </w:tr>
  </w:tbl>
  <w:p w14:paraId="2F92BF9A" w14:textId="4A6C913B" w:rsidR="76C09FFD" w:rsidRDefault="76C09FFD" w:rsidP="76C09F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40AA0833" w14:textId="77777777" w:rsidTr="76C09FFD">
      <w:trPr>
        <w:trHeight w:val="300"/>
      </w:trPr>
      <w:tc>
        <w:tcPr>
          <w:tcW w:w="3285" w:type="dxa"/>
        </w:tcPr>
        <w:p w14:paraId="01CB2AA5" w14:textId="7B0F9074" w:rsidR="76C09FFD" w:rsidRDefault="76C09FFD" w:rsidP="76C09FFD">
          <w:pPr>
            <w:pStyle w:val="Header"/>
            <w:ind w:left="-115"/>
          </w:pPr>
        </w:p>
      </w:tc>
      <w:tc>
        <w:tcPr>
          <w:tcW w:w="3285" w:type="dxa"/>
        </w:tcPr>
        <w:p w14:paraId="14292643" w14:textId="459B2A40" w:rsidR="76C09FFD" w:rsidRDefault="76C09FFD" w:rsidP="76C09FFD">
          <w:pPr>
            <w:pStyle w:val="Header"/>
            <w:jc w:val="center"/>
          </w:pPr>
        </w:p>
      </w:tc>
      <w:tc>
        <w:tcPr>
          <w:tcW w:w="3285" w:type="dxa"/>
        </w:tcPr>
        <w:p w14:paraId="02E58747" w14:textId="44572D45" w:rsidR="76C09FFD" w:rsidRDefault="76C09FFD" w:rsidP="76C09FFD">
          <w:pPr>
            <w:pStyle w:val="Header"/>
            <w:ind w:right="-115"/>
            <w:jc w:val="right"/>
          </w:pPr>
        </w:p>
      </w:tc>
    </w:tr>
  </w:tbl>
  <w:p w14:paraId="30F0A4A9" w14:textId="0BEBD337" w:rsidR="76C09FFD" w:rsidRDefault="76C09FFD" w:rsidP="76C09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8E65" w14:textId="77777777" w:rsidR="00D712E5" w:rsidRDefault="00D712E5" w:rsidP="00121ECE">
      <w:r>
        <w:separator/>
      </w:r>
    </w:p>
  </w:footnote>
  <w:footnote w:type="continuationSeparator" w:id="0">
    <w:p w14:paraId="6C4D0103" w14:textId="77777777" w:rsidR="00D712E5" w:rsidRDefault="00D712E5"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2B6732B7" w14:textId="77777777" w:rsidTr="76C09FFD">
      <w:trPr>
        <w:trHeight w:val="300"/>
      </w:trPr>
      <w:tc>
        <w:tcPr>
          <w:tcW w:w="3285" w:type="dxa"/>
        </w:tcPr>
        <w:p w14:paraId="47AB520D" w14:textId="14B895F1" w:rsidR="76C09FFD" w:rsidRDefault="76C09FFD" w:rsidP="76C09FFD">
          <w:pPr>
            <w:pStyle w:val="Header"/>
            <w:ind w:left="-115"/>
          </w:pPr>
        </w:p>
      </w:tc>
      <w:tc>
        <w:tcPr>
          <w:tcW w:w="3285" w:type="dxa"/>
        </w:tcPr>
        <w:p w14:paraId="2DF4F9FE" w14:textId="32D7D6B2" w:rsidR="76C09FFD" w:rsidRDefault="76C09FFD" w:rsidP="76C09FFD">
          <w:pPr>
            <w:pStyle w:val="Header"/>
            <w:jc w:val="center"/>
          </w:pPr>
        </w:p>
      </w:tc>
      <w:tc>
        <w:tcPr>
          <w:tcW w:w="3285" w:type="dxa"/>
        </w:tcPr>
        <w:p w14:paraId="605B751F" w14:textId="22BF8040" w:rsidR="76C09FFD" w:rsidRDefault="76C09FFD" w:rsidP="76C09FFD">
          <w:pPr>
            <w:pStyle w:val="Header"/>
            <w:ind w:right="-115"/>
            <w:jc w:val="right"/>
          </w:pPr>
        </w:p>
      </w:tc>
    </w:tr>
  </w:tbl>
  <w:p w14:paraId="6702E112" w14:textId="39B76828" w:rsidR="76C09FFD" w:rsidRDefault="76C09FFD" w:rsidP="76C09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2FDD" w14:textId="57ECFAD2" w:rsidR="001926F3" w:rsidRPr="001926F3" w:rsidRDefault="001926F3" w:rsidP="001926F3">
    <w:pPr>
      <w:pStyle w:val="Header"/>
    </w:pPr>
    <w:r w:rsidRPr="001926F3">
      <w:rPr>
        <w:noProof/>
      </w:rPr>
      <w:drawing>
        <wp:inline distT="0" distB="0" distL="0" distR="0" wp14:anchorId="337712CE" wp14:editId="70E05572">
          <wp:extent cx="2696966" cy="800100"/>
          <wp:effectExtent l="0" t="0" r="8255" b="0"/>
          <wp:docPr id="73325095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5095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341" cy="802881"/>
                  </a:xfrm>
                  <a:prstGeom prst="rect">
                    <a:avLst/>
                  </a:prstGeom>
                  <a:noFill/>
                  <a:ln>
                    <a:noFill/>
                  </a:ln>
                </pic:spPr>
              </pic:pic>
            </a:graphicData>
          </a:graphic>
        </wp:inline>
      </w:drawing>
    </w:r>
  </w:p>
  <w:p w14:paraId="4FC814D9" w14:textId="7644575F" w:rsidR="76C09FFD" w:rsidRDefault="76C09FFD" w:rsidP="76C09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F64E" w14:textId="77777777" w:rsidR="00B31C21" w:rsidRDefault="00B31C21">
    <w:pPr>
      <w:pStyle w:val="Header"/>
    </w:pPr>
  </w:p>
  <w:p w14:paraId="4ED3F49D" w14:textId="77777777" w:rsidR="00B31C21" w:rsidRDefault="00B31C21">
    <w:pPr>
      <w:pStyle w:val="Header"/>
    </w:pPr>
    <w:r>
      <w:rPr>
        <w:noProof/>
      </w:rPr>
      <w:drawing>
        <wp:inline distT="0" distB="0" distL="0" distR="0" wp14:anchorId="23F05523" wp14:editId="55FEDE47">
          <wp:extent cx="3315970" cy="847725"/>
          <wp:effectExtent l="0" t="0" r="0" b="9525"/>
          <wp:docPr id="977034059" name="Picture 97703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C09FFD" w14:paraId="19ECD44E" w14:textId="77777777" w:rsidTr="76C09FFD">
      <w:trPr>
        <w:trHeight w:val="300"/>
      </w:trPr>
      <w:tc>
        <w:tcPr>
          <w:tcW w:w="3285" w:type="dxa"/>
        </w:tcPr>
        <w:p w14:paraId="528B8239" w14:textId="04B9CDA0" w:rsidR="76C09FFD" w:rsidRDefault="76C09FFD" w:rsidP="76C09FFD">
          <w:pPr>
            <w:pStyle w:val="Header"/>
            <w:ind w:left="-115"/>
          </w:pPr>
        </w:p>
      </w:tc>
      <w:tc>
        <w:tcPr>
          <w:tcW w:w="3285" w:type="dxa"/>
        </w:tcPr>
        <w:p w14:paraId="334B2552" w14:textId="1BA9236C" w:rsidR="76C09FFD" w:rsidRDefault="76C09FFD" w:rsidP="76C09FFD">
          <w:pPr>
            <w:pStyle w:val="Header"/>
            <w:jc w:val="center"/>
          </w:pPr>
        </w:p>
      </w:tc>
      <w:tc>
        <w:tcPr>
          <w:tcW w:w="3285" w:type="dxa"/>
        </w:tcPr>
        <w:p w14:paraId="00EA6333" w14:textId="677B6DCB" w:rsidR="76C09FFD" w:rsidRDefault="76C09FFD" w:rsidP="76C09FFD">
          <w:pPr>
            <w:pStyle w:val="Header"/>
            <w:ind w:right="-115"/>
            <w:jc w:val="right"/>
          </w:pPr>
        </w:p>
      </w:tc>
    </w:tr>
  </w:tbl>
  <w:p w14:paraId="03F515A9" w14:textId="599594D6" w:rsidR="76C09FFD" w:rsidRDefault="76C09FFD" w:rsidP="76C09F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BB0E" w14:textId="77777777" w:rsidR="00B31C21" w:rsidRDefault="00B3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1"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36A1707A"/>
    <w:multiLevelType w:val="hybridMultilevel"/>
    <w:tmpl w:val="8F984D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320779">
    <w:abstractNumId w:val="11"/>
  </w:num>
  <w:num w:numId="2" w16cid:durableId="1085999857">
    <w:abstractNumId w:val="10"/>
  </w:num>
  <w:num w:numId="3" w16cid:durableId="202669361">
    <w:abstractNumId w:val="15"/>
  </w:num>
  <w:num w:numId="4" w16cid:durableId="393431264">
    <w:abstractNumId w:val="18"/>
  </w:num>
  <w:num w:numId="5" w16cid:durableId="642779015">
    <w:abstractNumId w:val="13"/>
  </w:num>
  <w:num w:numId="6" w16cid:durableId="1839421395">
    <w:abstractNumId w:val="18"/>
    <w:lvlOverride w:ilvl="0">
      <w:startOverride w:val="1"/>
    </w:lvlOverride>
  </w:num>
  <w:num w:numId="7" w16cid:durableId="1597135491">
    <w:abstractNumId w:val="16"/>
  </w:num>
  <w:num w:numId="8" w16cid:durableId="1230075862">
    <w:abstractNumId w:val="0"/>
  </w:num>
  <w:num w:numId="9" w16cid:durableId="317079417">
    <w:abstractNumId w:val="1"/>
  </w:num>
  <w:num w:numId="10" w16cid:durableId="1888952198">
    <w:abstractNumId w:val="2"/>
  </w:num>
  <w:num w:numId="11" w16cid:durableId="930771321">
    <w:abstractNumId w:val="3"/>
  </w:num>
  <w:num w:numId="12" w16cid:durableId="1744180626">
    <w:abstractNumId w:val="8"/>
  </w:num>
  <w:num w:numId="13" w16cid:durableId="393504620">
    <w:abstractNumId w:val="4"/>
  </w:num>
  <w:num w:numId="14" w16cid:durableId="667051726">
    <w:abstractNumId w:val="5"/>
  </w:num>
  <w:num w:numId="15" w16cid:durableId="43137290">
    <w:abstractNumId w:val="6"/>
  </w:num>
  <w:num w:numId="16" w16cid:durableId="1457799730">
    <w:abstractNumId w:val="7"/>
  </w:num>
  <w:num w:numId="17" w16cid:durableId="1741706431">
    <w:abstractNumId w:val="9"/>
  </w:num>
  <w:num w:numId="18" w16cid:durableId="869609893">
    <w:abstractNumId w:val="13"/>
  </w:num>
  <w:num w:numId="19" w16cid:durableId="1717116677">
    <w:abstractNumId w:val="14"/>
  </w:num>
  <w:num w:numId="20" w16cid:durableId="2046634372">
    <w:abstractNumId w:val="18"/>
  </w:num>
  <w:num w:numId="21" w16cid:durableId="1401246092">
    <w:abstractNumId w:val="17"/>
  </w:num>
  <w:num w:numId="22" w16cid:durableId="216934569">
    <w:abstractNumId w:val="13"/>
  </w:num>
  <w:num w:numId="23" w16cid:durableId="1849246117">
    <w:abstractNumId w:val="14"/>
  </w:num>
  <w:num w:numId="24" w16cid:durableId="17783813">
    <w:abstractNumId w:val="18"/>
  </w:num>
  <w:num w:numId="25" w16cid:durableId="1621188094">
    <w:abstractNumId w:val="17"/>
  </w:num>
  <w:num w:numId="26" w16cid:durableId="1523787136">
    <w:abstractNumId w:val="13"/>
  </w:num>
  <w:num w:numId="27" w16cid:durableId="1879276564">
    <w:abstractNumId w:val="14"/>
  </w:num>
  <w:num w:numId="28" w16cid:durableId="1464541702">
    <w:abstractNumId w:val="18"/>
  </w:num>
  <w:num w:numId="29" w16cid:durableId="749426807">
    <w:abstractNumId w:val="17"/>
  </w:num>
  <w:num w:numId="30" w16cid:durableId="62683681">
    <w:abstractNumId w:val="13"/>
  </w:num>
  <w:num w:numId="31" w16cid:durableId="7829528">
    <w:abstractNumId w:val="14"/>
  </w:num>
  <w:num w:numId="32" w16cid:durableId="1098912901">
    <w:abstractNumId w:val="18"/>
  </w:num>
  <w:num w:numId="33" w16cid:durableId="446773524">
    <w:abstractNumId w:val="17"/>
  </w:num>
  <w:num w:numId="34" w16cid:durableId="304164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80"/>
    <w:rsid w:val="0001249B"/>
    <w:rsid w:val="00017880"/>
    <w:rsid w:val="000370FA"/>
    <w:rsid w:val="00041971"/>
    <w:rsid w:val="0005578D"/>
    <w:rsid w:val="00081D31"/>
    <w:rsid w:val="00090C5C"/>
    <w:rsid w:val="0009573D"/>
    <w:rsid w:val="000A0B34"/>
    <w:rsid w:val="000A30F3"/>
    <w:rsid w:val="000A3CAE"/>
    <w:rsid w:val="000B3E60"/>
    <w:rsid w:val="000C41A7"/>
    <w:rsid w:val="000C6CC0"/>
    <w:rsid w:val="000D339B"/>
    <w:rsid w:val="00121ECE"/>
    <w:rsid w:val="00125A84"/>
    <w:rsid w:val="00165523"/>
    <w:rsid w:val="00167BF5"/>
    <w:rsid w:val="001926F3"/>
    <w:rsid w:val="001D44C7"/>
    <w:rsid w:val="001F1FCD"/>
    <w:rsid w:val="002364A5"/>
    <w:rsid w:val="00280314"/>
    <w:rsid w:val="002C6AF9"/>
    <w:rsid w:val="002D11BA"/>
    <w:rsid w:val="002D2120"/>
    <w:rsid w:val="002D284E"/>
    <w:rsid w:val="002E0875"/>
    <w:rsid w:val="002E2E8C"/>
    <w:rsid w:val="003264DD"/>
    <w:rsid w:val="003355F6"/>
    <w:rsid w:val="00335E26"/>
    <w:rsid w:val="00357144"/>
    <w:rsid w:val="00387CFF"/>
    <w:rsid w:val="003B4F95"/>
    <w:rsid w:val="003D553B"/>
    <w:rsid w:val="003E7726"/>
    <w:rsid w:val="003F68C2"/>
    <w:rsid w:val="00414699"/>
    <w:rsid w:val="00433496"/>
    <w:rsid w:val="00436E71"/>
    <w:rsid w:val="004370FB"/>
    <w:rsid w:val="00453142"/>
    <w:rsid w:val="0049130D"/>
    <w:rsid w:val="004E6F7D"/>
    <w:rsid w:val="005713E8"/>
    <w:rsid w:val="005929BC"/>
    <w:rsid w:val="00592A9B"/>
    <w:rsid w:val="005C3179"/>
    <w:rsid w:val="0064402A"/>
    <w:rsid w:val="006558A3"/>
    <w:rsid w:val="00687566"/>
    <w:rsid w:val="006A718E"/>
    <w:rsid w:val="006C48AD"/>
    <w:rsid w:val="006F1552"/>
    <w:rsid w:val="006F4000"/>
    <w:rsid w:val="00742A52"/>
    <w:rsid w:val="00742D38"/>
    <w:rsid w:val="007500F3"/>
    <w:rsid w:val="007821FB"/>
    <w:rsid w:val="007B52CE"/>
    <w:rsid w:val="007D1633"/>
    <w:rsid w:val="007E0B29"/>
    <w:rsid w:val="007F5D35"/>
    <w:rsid w:val="00824344"/>
    <w:rsid w:val="00851F05"/>
    <w:rsid w:val="008620F7"/>
    <w:rsid w:val="008775C8"/>
    <w:rsid w:val="008A19DB"/>
    <w:rsid w:val="008C3432"/>
    <w:rsid w:val="008C42F5"/>
    <w:rsid w:val="008C6190"/>
    <w:rsid w:val="008D2C57"/>
    <w:rsid w:val="00903003"/>
    <w:rsid w:val="0090483C"/>
    <w:rsid w:val="009135C3"/>
    <w:rsid w:val="0096281A"/>
    <w:rsid w:val="0096361A"/>
    <w:rsid w:val="00963B2A"/>
    <w:rsid w:val="00971513"/>
    <w:rsid w:val="009A1A3F"/>
    <w:rsid w:val="009A2204"/>
    <w:rsid w:val="009A23CD"/>
    <w:rsid w:val="009C58EB"/>
    <w:rsid w:val="009D0C4F"/>
    <w:rsid w:val="009D0FAC"/>
    <w:rsid w:val="009F7DB0"/>
    <w:rsid w:val="00A00EB8"/>
    <w:rsid w:val="00A10E17"/>
    <w:rsid w:val="00A11337"/>
    <w:rsid w:val="00A710E3"/>
    <w:rsid w:val="00AA15D7"/>
    <w:rsid w:val="00AB4675"/>
    <w:rsid w:val="00AF6BFB"/>
    <w:rsid w:val="00AF7B84"/>
    <w:rsid w:val="00B16D59"/>
    <w:rsid w:val="00B22CF4"/>
    <w:rsid w:val="00B31495"/>
    <w:rsid w:val="00B31C21"/>
    <w:rsid w:val="00B446D2"/>
    <w:rsid w:val="00B70B60"/>
    <w:rsid w:val="00B8632D"/>
    <w:rsid w:val="00B951FB"/>
    <w:rsid w:val="00BC4641"/>
    <w:rsid w:val="00BD221E"/>
    <w:rsid w:val="00BE0F4F"/>
    <w:rsid w:val="00BF3088"/>
    <w:rsid w:val="00C13FAF"/>
    <w:rsid w:val="00C256E3"/>
    <w:rsid w:val="00C268CE"/>
    <w:rsid w:val="00C50BCA"/>
    <w:rsid w:val="00C61828"/>
    <w:rsid w:val="00C7672A"/>
    <w:rsid w:val="00CA06CF"/>
    <w:rsid w:val="00CC65EA"/>
    <w:rsid w:val="00CE7127"/>
    <w:rsid w:val="00CF366C"/>
    <w:rsid w:val="00D111B0"/>
    <w:rsid w:val="00D712E5"/>
    <w:rsid w:val="00D914B1"/>
    <w:rsid w:val="00DB5AA4"/>
    <w:rsid w:val="00DC1FCA"/>
    <w:rsid w:val="00DC4E19"/>
    <w:rsid w:val="00DC55DA"/>
    <w:rsid w:val="00DD13BA"/>
    <w:rsid w:val="00DD4EC4"/>
    <w:rsid w:val="00DF0731"/>
    <w:rsid w:val="00DF4455"/>
    <w:rsid w:val="00E564F5"/>
    <w:rsid w:val="00E661EE"/>
    <w:rsid w:val="00E7175A"/>
    <w:rsid w:val="00E74383"/>
    <w:rsid w:val="00E96CB7"/>
    <w:rsid w:val="00EB6F51"/>
    <w:rsid w:val="00EE597E"/>
    <w:rsid w:val="00EF5825"/>
    <w:rsid w:val="00F5076E"/>
    <w:rsid w:val="00F73733"/>
    <w:rsid w:val="00F9006F"/>
    <w:rsid w:val="00FC64AA"/>
    <w:rsid w:val="00FF7755"/>
    <w:rsid w:val="19601B65"/>
    <w:rsid w:val="4DA97B26"/>
    <w:rsid w:val="694F646C"/>
    <w:rsid w:val="76C09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7C32A"/>
  <w15:chartTrackingRefBased/>
  <w15:docId w15:val="{CEA12063-0D09-452E-8694-B4D2EC38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80"/>
    <w:pPr>
      <w:spacing w:after="160" w:line="259" w:lineRule="auto"/>
    </w:pPr>
    <w:rPr>
      <w:sz w:val="22"/>
      <w:szCs w:val="22"/>
    </w:rPr>
  </w:style>
  <w:style w:type="paragraph" w:styleId="Heading1">
    <w:name w:val="heading 1"/>
    <w:next w:val="ParagraphText"/>
    <w:link w:val="Heading1Char"/>
    <w:uiPriority w:val="1"/>
    <w:qFormat/>
    <w:rsid w:val="002E0875"/>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2E0875"/>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2E0875"/>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2E0875"/>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2E0875"/>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2E0875"/>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2E0875"/>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2E0875"/>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75"/>
    <w:pPr>
      <w:tabs>
        <w:tab w:val="center" w:pos="4680"/>
        <w:tab w:val="right" w:pos="9360"/>
      </w:tabs>
    </w:pPr>
  </w:style>
  <w:style w:type="character" w:customStyle="1" w:styleId="HeaderChar">
    <w:name w:val="Header Char"/>
    <w:basedOn w:val="DefaultParagraphFont"/>
    <w:link w:val="Header"/>
    <w:uiPriority w:val="99"/>
    <w:rsid w:val="002E0875"/>
    <w:rPr>
      <w:rFonts w:ascii="Arial" w:eastAsiaTheme="minorEastAsia" w:hAnsi="Arial"/>
    </w:rPr>
  </w:style>
  <w:style w:type="paragraph" w:styleId="Footer">
    <w:name w:val="footer"/>
    <w:basedOn w:val="Normal"/>
    <w:link w:val="FooterChar"/>
    <w:uiPriority w:val="99"/>
    <w:unhideWhenUsed/>
    <w:rsid w:val="002E0875"/>
    <w:pPr>
      <w:tabs>
        <w:tab w:val="center" w:pos="4680"/>
        <w:tab w:val="right" w:pos="9360"/>
      </w:tabs>
    </w:pPr>
  </w:style>
  <w:style w:type="character" w:customStyle="1" w:styleId="FooterChar">
    <w:name w:val="Footer Char"/>
    <w:basedOn w:val="DefaultParagraphFont"/>
    <w:link w:val="Footer"/>
    <w:uiPriority w:val="99"/>
    <w:rsid w:val="002E0875"/>
    <w:rPr>
      <w:rFonts w:ascii="Arial" w:eastAsiaTheme="minorEastAsia" w:hAnsi="Arial"/>
    </w:rPr>
  </w:style>
  <w:style w:type="table" w:styleId="TableGrid">
    <w:name w:val="Table Grid"/>
    <w:basedOn w:val="TableNormal"/>
    <w:rsid w:val="002E0875"/>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uiPriority w:val="99"/>
    <w:semiHidden/>
    <w:rsid w:val="002E0875"/>
    <w:pPr>
      <w:spacing w:after="240"/>
    </w:pPr>
    <w:rPr>
      <w:rFonts w:ascii="Arial" w:eastAsia="Times New Roman" w:hAnsi="Arial" w:cs="Times New Roman"/>
      <w:b/>
      <w:sz w:val="52"/>
      <w:szCs w:val="20"/>
      <w:lang w:eastAsia="en-GB"/>
    </w:rPr>
  </w:style>
  <w:style w:type="paragraph" w:customStyle="1" w:styleId="Report-Subtitle">
    <w:name w:val="Report - Subtitle"/>
    <w:basedOn w:val="Normal"/>
    <w:next w:val="Dateofpublication"/>
    <w:uiPriority w:val="1"/>
    <w:qFormat/>
    <w:rsid w:val="002E0875"/>
    <w:pPr>
      <w:spacing w:after="240"/>
    </w:pPr>
    <w:rPr>
      <w:rFonts w:eastAsia="Times New Roman" w:cs="Arial"/>
      <w:b/>
      <w:sz w:val="36"/>
      <w:szCs w:val="36"/>
      <w:lang w:eastAsia="en-GB"/>
    </w:rPr>
  </w:style>
  <w:style w:type="paragraph" w:customStyle="1" w:styleId="Dateofpublication">
    <w:name w:val="Date of publication"/>
    <w:basedOn w:val="Normal"/>
    <w:next w:val="Normal"/>
    <w:uiPriority w:val="99"/>
    <w:unhideWhenUsed/>
    <w:rsid w:val="002E0875"/>
    <w:rPr>
      <w:rFonts w:eastAsia="Times New Roman" w:cs="Times New Roman"/>
      <w:szCs w:val="20"/>
      <w:lang w:eastAsia="en-GB"/>
    </w:rPr>
  </w:style>
  <w:style w:type="paragraph" w:customStyle="1" w:styleId="Report-Title">
    <w:name w:val="Report - Title"/>
    <w:basedOn w:val="Covertitle"/>
    <w:uiPriority w:val="1"/>
    <w:qFormat/>
    <w:rsid w:val="002E0875"/>
  </w:style>
  <w:style w:type="paragraph" w:styleId="TOC1">
    <w:name w:val="toc 1"/>
    <w:uiPriority w:val="3"/>
    <w:qFormat/>
    <w:rsid w:val="002E0875"/>
    <w:pPr>
      <w:tabs>
        <w:tab w:val="right" w:leader="dot" w:pos="9639"/>
      </w:tabs>
      <w:spacing w:before="120" w:after="120"/>
    </w:pPr>
    <w:rPr>
      <w:rFonts w:ascii="Arial" w:eastAsia="Times New Roman" w:hAnsi="Arial" w:cs="Times New Roman"/>
      <w:szCs w:val="20"/>
      <w:lang w:eastAsia="en-GB"/>
    </w:rPr>
  </w:style>
  <w:style w:type="paragraph" w:customStyle="1" w:styleId="Heading-contents">
    <w:name w:val="Heading - contents"/>
    <w:next w:val="Normal"/>
    <w:uiPriority w:val="1"/>
    <w:rsid w:val="002E0875"/>
    <w:pPr>
      <w:spacing w:after="360"/>
    </w:pPr>
    <w:rPr>
      <w:rFonts w:ascii="Arial" w:eastAsia="Times New Roman" w:hAnsi="Arial" w:cs="Times New Roman"/>
      <w:b/>
      <w:sz w:val="48"/>
      <w:szCs w:val="20"/>
      <w:lang w:eastAsia="en-GB"/>
    </w:rPr>
  </w:style>
  <w:style w:type="paragraph" w:customStyle="1" w:styleId="Bullet">
    <w:name w:val="Bullet"/>
    <w:uiPriority w:val="2"/>
    <w:qFormat/>
    <w:rsid w:val="002E0875"/>
    <w:pPr>
      <w:numPr>
        <w:numId w:val="31"/>
      </w:numPr>
      <w:tabs>
        <w:tab w:val="left" w:pos="425"/>
      </w:tabs>
      <w:spacing w:after="280" w:line="280" w:lineRule="exact"/>
    </w:pPr>
    <w:rPr>
      <w:rFonts w:ascii="Arial" w:eastAsia="Times New Roman" w:hAnsi="Arial" w:cs="Times New Roman"/>
      <w:szCs w:val="20"/>
      <w:lang w:eastAsia="en-GB"/>
    </w:rPr>
  </w:style>
  <w:style w:type="character" w:styleId="Hyperlink">
    <w:name w:val="Hyperlink"/>
    <w:uiPriority w:val="99"/>
    <w:unhideWhenUsed/>
    <w:rsid w:val="002E0875"/>
    <w:rPr>
      <w:rFonts w:ascii="Arial" w:hAnsi="Arial"/>
      <w:color w:val="006651" w:themeColor="accent1"/>
      <w:sz w:val="24"/>
      <w:u w:val="single"/>
    </w:rPr>
  </w:style>
  <w:style w:type="paragraph" w:styleId="TOC2">
    <w:name w:val="toc 2"/>
    <w:basedOn w:val="Normal"/>
    <w:next w:val="Normal"/>
    <w:uiPriority w:val="3"/>
    <w:qFormat/>
    <w:rsid w:val="002E0875"/>
    <w:pPr>
      <w:tabs>
        <w:tab w:val="right" w:leader="dot" w:pos="9639"/>
      </w:tabs>
      <w:spacing w:after="100"/>
      <w:ind w:left="221"/>
    </w:pPr>
    <w:rPr>
      <w:rFonts w:eastAsia="Times New Roman" w:cs="Times New Roman"/>
      <w:noProof/>
      <w:szCs w:val="20"/>
      <w:lang w:eastAsia="en-GB"/>
    </w:rPr>
  </w:style>
  <w:style w:type="paragraph" w:customStyle="1" w:styleId="Bullet-numberedsteps">
    <w:name w:val="Bullet - numbered steps"/>
    <w:basedOn w:val="ParagraphText"/>
    <w:uiPriority w:val="2"/>
    <w:qFormat/>
    <w:rsid w:val="002E0875"/>
    <w:pPr>
      <w:numPr>
        <w:numId w:val="32"/>
      </w:numPr>
      <w:spacing w:line="280" w:lineRule="exact"/>
    </w:pPr>
    <w:rPr>
      <w:rFonts w:eastAsia="Times New Roman" w:cs="Times New Roman"/>
      <w:szCs w:val="20"/>
      <w:lang w:eastAsia="en-GB"/>
    </w:rPr>
  </w:style>
  <w:style w:type="character" w:styleId="PageNumber">
    <w:name w:val="page number"/>
    <w:basedOn w:val="DefaultParagraphFont"/>
    <w:uiPriority w:val="99"/>
    <w:semiHidden/>
    <w:rsid w:val="002E0875"/>
  </w:style>
  <w:style w:type="character" w:customStyle="1" w:styleId="Heading1Char">
    <w:name w:val="Heading 1 Char"/>
    <w:basedOn w:val="DefaultParagraphFont"/>
    <w:link w:val="Heading1"/>
    <w:uiPriority w:val="1"/>
    <w:rsid w:val="002E0875"/>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2E0875"/>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2E0875"/>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2E0875"/>
    <w:rPr>
      <w:rFonts w:ascii="Arial" w:eastAsia="Times New Roman" w:hAnsi="Arial" w:cs="Times New Roman"/>
      <w:b/>
      <w:szCs w:val="20"/>
      <w:lang w:eastAsia="en-GB"/>
    </w:rPr>
  </w:style>
  <w:style w:type="character" w:customStyle="1" w:styleId="ParagraphTextChar">
    <w:name w:val="Paragraph Text Char"/>
    <w:basedOn w:val="DefaultParagraphFont"/>
    <w:link w:val="ParagraphText"/>
    <w:rsid w:val="002E0875"/>
    <w:rPr>
      <w:rFonts w:ascii="Arial" w:hAnsi="Arial"/>
    </w:rPr>
  </w:style>
  <w:style w:type="paragraph" w:customStyle="1" w:styleId="ParagraphText">
    <w:name w:val="Paragraph Text"/>
    <w:link w:val="ParagraphTextChar"/>
    <w:qFormat/>
    <w:rsid w:val="002E0875"/>
    <w:pPr>
      <w:spacing w:after="280" w:line="288" w:lineRule="auto"/>
    </w:pPr>
    <w:rPr>
      <w:rFonts w:ascii="Arial" w:hAnsi="Arial"/>
    </w:rPr>
  </w:style>
  <w:style w:type="paragraph" w:customStyle="1" w:styleId="Report-Pull-outstyle">
    <w:name w:val="Report - Pull-out style"/>
    <w:uiPriority w:val="1"/>
    <w:qFormat/>
    <w:rsid w:val="002E0875"/>
    <w:pPr>
      <w:keepLines/>
      <w:spacing w:after="284" w:line="400" w:lineRule="exact"/>
    </w:pPr>
    <w:rPr>
      <w:rFonts w:ascii="Arial" w:eastAsia="Times New Roman" w:hAnsi="Arial" w:cs="Times New Roman"/>
      <w:sz w:val="30"/>
      <w:szCs w:val="32"/>
      <w:lang w:eastAsia="en-GB"/>
    </w:rPr>
  </w:style>
  <w:style w:type="paragraph" w:customStyle="1" w:styleId="Sub-bullet0">
    <w:name w:val="Sub-bullet"/>
    <w:basedOn w:val="Bullet"/>
    <w:qFormat/>
    <w:rsid w:val="00F9006F"/>
    <w:pPr>
      <w:numPr>
        <w:numId w:val="0"/>
      </w:numPr>
    </w:pPr>
  </w:style>
  <w:style w:type="character" w:customStyle="1" w:styleId="Bold">
    <w:name w:val="Bold"/>
    <w:basedOn w:val="DefaultParagraphFont"/>
    <w:uiPriority w:val="3"/>
    <w:semiHidden/>
    <w:qFormat/>
    <w:rsid w:val="002E0875"/>
    <w:rPr>
      <w:b/>
    </w:rPr>
  </w:style>
  <w:style w:type="paragraph" w:customStyle="1" w:styleId="Sub-Bullet">
    <w:name w:val="Sub-Bullet"/>
    <w:uiPriority w:val="2"/>
    <w:qFormat/>
    <w:rsid w:val="002E0875"/>
    <w:pPr>
      <w:numPr>
        <w:ilvl w:val="1"/>
        <w:numId w:val="33"/>
      </w:numPr>
      <w:tabs>
        <w:tab w:val="left" w:pos="425"/>
      </w:tabs>
      <w:spacing w:after="280" w:line="280" w:lineRule="exact"/>
    </w:pPr>
    <w:rPr>
      <w:rFonts w:ascii="Arial" w:eastAsia="Times New Roman" w:hAnsi="Arial" w:cs="Times New Roman"/>
      <w:szCs w:val="20"/>
      <w:lang w:eastAsia="en-GB"/>
    </w:rPr>
  </w:style>
  <w:style w:type="paragraph" w:customStyle="1" w:styleId="Blockquote">
    <w:name w:val="Blockquote"/>
    <w:basedOn w:val="Quote"/>
    <w:uiPriority w:val="2"/>
    <w:qFormat/>
    <w:rsid w:val="00F9006F"/>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Boxedtext">
    <w:name w:val="Boxed text"/>
    <w:basedOn w:val="Normal"/>
    <w:next w:val="Normal"/>
    <w:uiPriority w:val="3"/>
    <w:qFormat/>
    <w:rsid w:val="002E0875"/>
    <w:pPr>
      <w:numPr>
        <w:numId w:val="30"/>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styleId="Quote">
    <w:name w:val="Quote"/>
    <w:basedOn w:val="Normal"/>
    <w:next w:val="Normal"/>
    <w:link w:val="QuoteChar"/>
    <w:uiPriority w:val="3"/>
    <w:qFormat/>
    <w:rsid w:val="002E0875"/>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3"/>
    <w:rsid w:val="002E0875"/>
    <w:rPr>
      <w:rFonts w:ascii="Arial" w:eastAsiaTheme="minorEastAsia" w:hAnsi="Arial"/>
      <w:iCs/>
      <w:color w:val="404040" w:themeColor="text1" w:themeTint="BF"/>
    </w:rPr>
  </w:style>
  <w:style w:type="character" w:customStyle="1" w:styleId="Italic">
    <w:name w:val="Italic"/>
    <w:basedOn w:val="DefaultParagraphFont"/>
    <w:uiPriority w:val="3"/>
    <w:semiHidden/>
    <w:qFormat/>
    <w:rsid w:val="002E0875"/>
    <w:rPr>
      <w:i/>
    </w:rPr>
  </w:style>
  <w:style w:type="paragraph" w:customStyle="1" w:styleId="Heading-figurecharttable">
    <w:name w:val="Heading - figure/chart/table"/>
    <w:next w:val="Normal"/>
    <w:uiPriority w:val="1"/>
    <w:qFormat/>
    <w:rsid w:val="002E0875"/>
    <w:pPr>
      <w:keepNext/>
      <w:keepLines/>
      <w:spacing w:before="120" w:after="240" w:line="320" w:lineRule="exact"/>
    </w:pPr>
    <w:rPr>
      <w:rFonts w:ascii="Arial" w:eastAsia="Times New Roman" w:hAnsi="Arial" w:cs="Times New Roman"/>
      <w:b/>
      <w:szCs w:val="20"/>
      <w:lang w:eastAsia="en-GB"/>
    </w:rPr>
  </w:style>
  <w:style w:type="paragraph" w:customStyle="1" w:styleId="Table-headertext">
    <w:name w:val="Table - header text"/>
    <w:uiPriority w:val="2"/>
    <w:qFormat/>
    <w:rsid w:val="002E0875"/>
    <w:pPr>
      <w:widowControl w:val="0"/>
      <w:spacing w:before="120" w:after="120"/>
    </w:pPr>
    <w:rPr>
      <w:rFonts w:ascii="Arial" w:eastAsia="Times New Roman" w:hAnsi="Arial" w:cs="Times New Roman"/>
      <w:b/>
      <w:szCs w:val="20"/>
      <w:lang w:eastAsia="en-GB"/>
    </w:rPr>
  </w:style>
  <w:style w:type="table" w:customStyle="1" w:styleId="DHSCtable">
    <w:name w:val="DHSC table"/>
    <w:basedOn w:val="TableNormal"/>
    <w:uiPriority w:val="99"/>
    <w:rsid w:val="002E0875"/>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Statisticheadlinenumbers1">
    <w:name w:val="Statistic headline numbers 1"/>
    <w:uiPriority w:val="1"/>
    <w:rsid w:val="002E0875"/>
    <w:pPr>
      <w:spacing w:after="57" w:line="1000" w:lineRule="exact"/>
    </w:pPr>
    <w:rPr>
      <w:rFonts w:ascii="Arial" w:eastAsia="Times New Roman" w:hAnsi="Arial" w:cs="Times New Roman"/>
      <w:b/>
      <w:sz w:val="106"/>
      <w:szCs w:val="106"/>
      <w:lang w:eastAsia="en-GB"/>
    </w:rPr>
  </w:style>
  <w:style w:type="paragraph" w:styleId="Subtitle">
    <w:name w:val="Subtitle"/>
    <w:basedOn w:val="Normal"/>
    <w:next w:val="Normal"/>
    <w:link w:val="SubtitleChar"/>
    <w:uiPriority w:val="1"/>
    <w:qFormat/>
    <w:rsid w:val="002E0875"/>
    <w:pPr>
      <w:numPr>
        <w:ilvl w:val="1"/>
      </w:numPr>
      <w:jc w:val="center"/>
    </w:pPr>
    <w:rPr>
      <w:spacing w:val="15"/>
      <w:sz w:val="36"/>
    </w:rPr>
  </w:style>
  <w:style w:type="character" w:customStyle="1" w:styleId="SubtitleChar">
    <w:name w:val="Subtitle Char"/>
    <w:basedOn w:val="DefaultParagraphFont"/>
    <w:link w:val="Subtitle"/>
    <w:uiPriority w:val="1"/>
    <w:rsid w:val="002E0875"/>
    <w:rPr>
      <w:rFonts w:ascii="Arial" w:eastAsiaTheme="minorEastAsia" w:hAnsi="Arial"/>
      <w:spacing w:val="15"/>
      <w:sz w:val="36"/>
      <w:szCs w:val="22"/>
    </w:rPr>
  </w:style>
  <w:style w:type="paragraph" w:styleId="Title">
    <w:name w:val="Title"/>
    <w:basedOn w:val="Normal"/>
    <w:next w:val="Normal"/>
    <w:link w:val="TitleChar"/>
    <w:uiPriority w:val="1"/>
    <w:qFormat/>
    <w:rsid w:val="002E0875"/>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2E0875"/>
    <w:rPr>
      <w:rFonts w:ascii="Arial" w:eastAsiaTheme="majorEastAsia" w:hAnsi="Arial" w:cstheme="majorBidi"/>
      <w:b/>
      <w:spacing w:val="-10"/>
      <w:kern w:val="28"/>
      <w:sz w:val="52"/>
      <w:szCs w:val="56"/>
    </w:rPr>
  </w:style>
  <w:style w:type="character" w:styleId="SubtleEmphasis">
    <w:name w:val="Subtle Emphasis"/>
    <w:basedOn w:val="DefaultParagraphFont"/>
    <w:uiPriority w:val="3"/>
    <w:qFormat/>
    <w:rsid w:val="002E0875"/>
    <w:rPr>
      <w:rFonts w:ascii="Arial" w:hAnsi="Arial"/>
      <w:b w:val="0"/>
      <w:i w:val="0"/>
      <w:iCs/>
      <w:color w:val="auto"/>
      <w:sz w:val="24"/>
      <w:u w:val="single"/>
    </w:rPr>
  </w:style>
  <w:style w:type="paragraph" w:customStyle="1" w:styleId="Report-Heading1">
    <w:name w:val="Report - Heading 1"/>
    <w:basedOn w:val="Heading1"/>
    <w:link w:val="Report-Heading1Char"/>
    <w:uiPriority w:val="1"/>
    <w:qFormat/>
    <w:rsid w:val="002E0875"/>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2E0875"/>
    <w:rPr>
      <w:rFonts w:ascii="Arial Bold" w:eastAsia="Times New Roman" w:hAnsi="Arial Bold" w:cs="Times New Roman"/>
      <w:b/>
      <w:color w:val="006651" w:themeColor="accent1"/>
      <w:sz w:val="44"/>
      <w:szCs w:val="20"/>
      <w:lang w:eastAsia="en-GB"/>
    </w:rPr>
  </w:style>
  <w:style w:type="paragraph" w:styleId="NoSpacing">
    <w:name w:val="No Spacing"/>
    <w:uiPriority w:val="3"/>
    <w:qFormat/>
    <w:rsid w:val="002E0875"/>
    <w:rPr>
      <w:rFonts w:ascii="Arial" w:eastAsiaTheme="minorEastAsia" w:hAnsi="Arial"/>
    </w:rPr>
  </w:style>
  <w:style w:type="character" w:customStyle="1" w:styleId="Heading5Char">
    <w:name w:val="Heading 5 Char"/>
    <w:basedOn w:val="DefaultParagraphFont"/>
    <w:link w:val="Heading5"/>
    <w:uiPriority w:val="4"/>
    <w:rsid w:val="002E0875"/>
    <w:rPr>
      <w:rFonts w:ascii="Arial" w:eastAsiaTheme="majorEastAsia" w:hAnsi="Arial" w:cstheme="majorBidi"/>
    </w:rPr>
  </w:style>
  <w:style w:type="character" w:customStyle="1" w:styleId="Heading6Char">
    <w:name w:val="Heading 6 Char"/>
    <w:basedOn w:val="DefaultParagraphFont"/>
    <w:link w:val="Heading6"/>
    <w:uiPriority w:val="4"/>
    <w:rsid w:val="002E0875"/>
    <w:rPr>
      <w:rFonts w:ascii="Arial" w:eastAsiaTheme="majorEastAsia" w:hAnsi="Arial" w:cstheme="majorBidi"/>
    </w:rPr>
  </w:style>
  <w:style w:type="character" w:customStyle="1" w:styleId="Heading7Char">
    <w:name w:val="Heading 7 Char"/>
    <w:basedOn w:val="DefaultParagraphFont"/>
    <w:link w:val="Heading7"/>
    <w:uiPriority w:val="9"/>
    <w:semiHidden/>
    <w:rsid w:val="002E0875"/>
    <w:rPr>
      <w:rFonts w:ascii="Arial" w:eastAsiaTheme="majorEastAsia" w:hAnsi="Arial" w:cstheme="majorBidi"/>
      <w:iCs/>
      <w:color w:val="003228" w:themeColor="accent1" w:themeShade="7F"/>
    </w:rPr>
  </w:style>
  <w:style w:type="character" w:styleId="Emphasis">
    <w:name w:val="Emphasis"/>
    <w:basedOn w:val="DefaultParagraphFont"/>
    <w:uiPriority w:val="3"/>
    <w:qFormat/>
    <w:rsid w:val="002E0875"/>
    <w:rPr>
      <w:rFonts w:ascii="Arial" w:hAnsi="Arial"/>
      <w:b w:val="0"/>
      <w:i/>
      <w:iCs/>
    </w:rPr>
  </w:style>
  <w:style w:type="character" w:customStyle="1" w:styleId="Heading8Char">
    <w:name w:val="Heading 8 Char"/>
    <w:basedOn w:val="DefaultParagraphFont"/>
    <w:link w:val="Heading8"/>
    <w:uiPriority w:val="9"/>
    <w:semiHidden/>
    <w:rsid w:val="002E0875"/>
    <w:rPr>
      <w:rFonts w:ascii="Arial" w:eastAsiaTheme="majorEastAsia" w:hAnsi="Arial" w:cstheme="majorBidi"/>
      <w:color w:val="272727" w:themeColor="text1" w:themeTint="D8"/>
      <w:sz w:val="21"/>
      <w:szCs w:val="21"/>
    </w:rPr>
  </w:style>
  <w:style w:type="character" w:styleId="IntenseEmphasis">
    <w:name w:val="Intense Emphasis"/>
    <w:basedOn w:val="DefaultParagraphFont"/>
    <w:uiPriority w:val="3"/>
    <w:qFormat/>
    <w:rsid w:val="002E0875"/>
    <w:rPr>
      <w:rFonts w:ascii="Arial" w:hAnsi="Arial"/>
      <w:b/>
      <w:i/>
      <w:iCs/>
      <w:color w:val="auto"/>
      <w:sz w:val="24"/>
      <w:u w:val="single"/>
    </w:rPr>
  </w:style>
  <w:style w:type="character" w:styleId="Strong">
    <w:name w:val="Strong"/>
    <w:basedOn w:val="DefaultParagraphFont"/>
    <w:uiPriority w:val="3"/>
    <w:rsid w:val="000B3E60"/>
    <w:rPr>
      <w:b/>
      <w:bCs/>
    </w:rPr>
  </w:style>
  <w:style w:type="paragraph" w:styleId="IntenseQuote">
    <w:name w:val="Intense Quote"/>
    <w:basedOn w:val="Normal"/>
    <w:next w:val="Normal"/>
    <w:link w:val="IntenseQuoteChar"/>
    <w:uiPriority w:val="3"/>
    <w:qFormat/>
    <w:rsid w:val="002E0875"/>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2E0875"/>
    <w:rPr>
      <w:rFonts w:ascii="Arial" w:eastAsiaTheme="minorEastAsia" w:hAnsi="Arial"/>
      <w:b/>
      <w:iCs/>
      <w:color w:val="006651" w:themeColor="accent1"/>
    </w:rPr>
  </w:style>
  <w:style w:type="character" w:styleId="SubtleReference">
    <w:name w:val="Subtle Reference"/>
    <w:basedOn w:val="DefaultParagraphFont"/>
    <w:uiPriority w:val="5"/>
    <w:qFormat/>
    <w:rsid w:val="002E0875"/>
    <w:rPr>
      <w:rFonts w:ascii="Arial Bold" w:hAnsi="Arial Bold"/>
      <w:b/>
      <w:caps/>
      <w:smallCaps w:val="0"/>
      <w:color w:val="5A5A5A" w:themeColor="text1" w:themeTint="A5"/>
      <w:sz w:val="24"/>
    </w:rPr>
  </w:style>
  <w:style w:type="character" w:styleId="IntenseReference">
    <w:name w:val="Intense Reference"/>
    <w:basedOn w:val="DefaultParagraphFont"/>
    <w:uiPriority w:val="5"/>
    <w:qFormat/>
    <w:rsid w:val="002E0875"/>
    <w:rPr>
      <w:rFonts w:ascii="Arial Bold" w:hAnsi="Arial Bold"/>
      <w:b/>
      <w:bCs/>
      <w:caps/>
      <w:smallCaps w:val="0"/>
      <w:color w:val="006651" w:themeColor="accent1"/>
      <w:spacing w:val="5"/>
      <w:sz w:val="24"/>
    </w:rPr>
  </w:style>
  <w:style w:type="character" w:styleId="BookTitle">
    <w:name w:val="Book Title"/>
    <w:basedOn w:val="DefaultParagraphFont"/>
    <w:uiPriority w:val="5"/>
    <w:qFormat/>
    <w:rsid w:val="002E0875"/>
    <w:rPr>
      <w:b/>
      <w:bCs/>
      <w:i/>
      <w:iCs/>
      <w:spacing w:val="5"/>
    </w:rPr>
  </w:style>
  <w:style w:type="paragraph" w:styleId="ListParagraph">
    <w:name w:val="List Paragraph"/>
    <w:basedOn w:val="Normal"/>
    <w:uiPriority w:val="34"/>
    <w:qFormat/>
    <w:rsid w:val="002E0875"/>
    <w:pPr>
      <w:ind w:left="720"/>
      <w:contextualSpacing/>
    </w:pPr>
  </w:style>
  <w:style w:type="character" w:styleId="UnresolvedMention">
    <w:name w:val="Unresolved Mention"/>
    <w:basedOn w:val="DefaultParagraphFont"/>
    <w:uiPriority w:val="99"/>
    <w:semiHidden/>
    <w:unhideWhenUsed/>
    <w:rsid w:val="002E0875"/>
    <w:rPr>
      <w:color w:val="605E5C"/>
      <w:shd w:val="clear" w:color="auto" w:fill="E1DFDD"/>
    </w:rPr>
  </w:style>
  <w:style w:type="character" w:styleId="FollowedHyperlink">
    <w:name w:val="FollowedHyperlink"/>
    <w:basedOn w:val="DefaultParagraphFont"/>
    <w:uiPriority w:val="99"/>
    <w:semiHidden/>
    <w:unhideWhenUsed/>
    <w:rsid w:val="002E0875"/>
    <w:rPr>
      <w:color w:val="006651" w:themeColor="followedHyperlink"/>
      <w:u w:val="single"/>
    </w:rPr>
  </w:style>
  <w:style w:type="paragraph" w:customStyle="1" w:styleId="Report-Heading2">
    <w:name w:val="Report - Heading 2"/>
    <w:basedOn w:val="Heading2"/>
    <w:link w:val="Report-Heading2Char"/>
    <w:uiPriority w:val="1"/>
    <w:qFormat/>
    <w:rsid w:val="002E0875"/>
    <w:rPr>
      <w:rFonts w:ascii="Arial Bold" w:hAnsi="Arial Bold"/>
      <w:color w:val="006651" w:themeColor="accent1"/>
    </w:rPr>
  </w:style>
  <w:style w:type="character" w:customStyle="1" w:styleId="Report-Heading2Char">
    <w:name w:val="Report - Heading 2 Char"/>
    <w:basedOn w:val="Heading2Char"/>
    <w:link w:val="Report-Heading2"/>
    <w:uiPriority w:val="1"/>
    <w:rsid w:val="002E0875"/>
    <w:rPr>
      <w:rFonts w:ascii="Arial Bold" w:eastAsia="Times New Roman" w:hAnsi="Arial Bold" w:cs="Times New Roman"/>
      <w:b/>
      <w:color w:val="006651" w:themeColor="accent1"/>
      <w:sz w:val="36"/>
      <w:szCs w:val="20"/>
      <w:lang w:eastAsia="en-GB"/>
    </w:rPr>
  </w:style>
  <w:style w:type="paragraph" w:customStyle="1" w:styleId="Statisticheadlinenumbers2">
    <w:name w:val="Statistic headline numbers 2"/>
    <w:basedOn w:val="Statisticheadlinenumbers1"/>
    <w:uiPriority w:val="1"/>
    <w:qFormat/>
    <w:rsid w:val="002E0875"/>
    <w:rPr>
      <w:b w:val="0"/>
      <w:color w:val="006651" w:themeColor="accent1"/>
    </w:rPr>
  </w:style>
  <w:style w:type="paragraph" w:customStyle="1" w:styleId="Table-bodytext">
    <w:name w:val="Table - body text"/>
    <w:basedOn w:val="Table-headertext"/>
    <w:uiPriority w:val="2"/>
    <w:qFormat/>
    <w:rsid w:val="002E0875"/>
    <w:rPr>
      <w:b w:val="0"/>
    </w:rPr>
  </w:style>
  <w:style w:type="paragraph" w:customStyle="1" w:styleId="Table-datarightaligned">
    <w:name w:val="Table - data right aligned"/>
    <w:basedOn w:val="Table-bodytext"/>
    <w:uiPriority w:val="2"/>
    <w:qFormat/>
    <w:rsid w:val="002E0875"/>
    <w:pPr>
      <w:jc w:val="right"/>
    </w:pPr>
  </w:style>
  <w:style w:type="paragraph" w:styleId="BalloonText">
    <w:name w:val="Balloon Text"/>
    <w:basedOn w:val="Normal"/>
    <w:link w:val="BalloonTextChar"/>
    <w:uiPriority w:val="99"/>
    <w:semiHidden/>
    <w:unhideWhenUsed/>
    <w:rsid w:val="002E0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875"/>
    <w:rPr>
      <w:rFonts w:ascii="Segoe UI" w:eastAsiaTheme="minorEastAsia" w:hAnsi="Segoe UI" w:cs="Segoe UI"/>
      <w:sz w:val="18"/>
      <w:szCs w:val="18"/>
    </w:rPr>
  </w:style>
  <w:style w:type="paragraph" w:customStyle="1" w:styleId="Quote-blockstyle">
    <w:name w:val="Quote - block style"/>
    <w:basedOn w:val="Quote"/>
    <w:uiPriority w:val="3"/>
    <w:qFormat/>
    <w:rsid w:val="002E0875"/>
    <w:pPr>
      <w:spacing w:before="0" w:after="284" w:line="324" w:lineRule="exact"/>
      <w:ind w:left="851" w:right="851"/>
      <w:jc w:val="left"/>
    </w:pPr>
    <w:rPr>
      <w:rFonts w:eastAsia="Times New Roman" w:cs="Times New Roman"/>
      <w:i/>
      <w:color w:val="000000" w:themeColor="text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712">
      <w:bodyDiv w:val="1"/>
      <w:marLeft w:val="0"/>
      <w:marRight w:val="0"/>
      <w:marTop w:val="0"/>
      <w:marBottom w:val="0"/>
      <w:divBdr>
        <w:top w:val="none" w:sz="0" w:space="0" w:color="auto"/>
        <w:left w:val="none" w:sz="0" w:space="0" w:color="auto"/>
        <w:bottom w:val="none" w:sz="0" w:space="0" w:color="auto"/>
        <w:right w:val="none" w:sz="0" w:space="0" w:color="auto"/>
      </w:divBdr>
    </w:div>
    <w:div w:id="561528343">
      <w:bodyDiv w:val="1"/>
      <w:marLeft w:val="0"/>
      <w:marRight w:val="0"/>
      <w:marTop w:val="0"/>
      <w:marBottom w:val="0"/>
      <w:divBdr>
        <w:top w:val="none" w:sz="0" w:space="0" w:color="auto"/>
        <w:left w:val="none" w:sz="0" w:space="0" w:color="auto"/>
        <w:bottom w:val="none" w:sz="0" w:space="0" w:color="auto"/>
        <w:right w:val="none" w:sz="0" w:space="0" w:color="auto"/>
      </w:divBdr>
    </w:div>
    <w:div w:id="900404647">
      <w:bodyDiv w:val="1"/>
      <w:marLeft w:val="0"/>
      <w:marRight w:val="0"/>
      <w:marTop w:val="0"/>
      <w:marBottom w:val="0"/>
      <w:divBdr>
        <w:top w:val="none" w:sz="0" w:space="0" w:color="auto"/>
        <w:left w:val="none" w:sz="0" w:space="0" w:color="auto"/>
        <w:bottom w:val="none" w:sz="0" w:space="0" w:color="auto"/>
        <w:right w:val="none" w:sz="0" w:space="0" w:color="auto"/>
      </w:divBdr>
    </w:div>
    <w:div w:id="19582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20E9DB197B34ABEB8EC6AFDA9E193" ma:contentTypeVersion="6" ma:contentTypeDescription="Create a new document." ma:contentTypeScope="" ma:versionID="a4fdc91155b50e2301d3e7e8bdc8b30d">
  <xsd:schema xmlns:xsd="http://www.w3.org/2001/XMLSchema" xmlns:xs="http://www.w3.org/2001/XMLSchema" xmlns:p="http://schemas.microsoft.com/office/2006/metadata/properties" xmlns:ns3="ee3583bc-7c9a-46e8-b786-7b6d01eb6bd0" targetNamespace="http://schemas.microsoft.com/office/2006/metadata/properties" ma:root="true" ma:fieldsID="ab61de85a2f320185ad8e04a99904d33" ns3:_="">
    <xsd:import namespace="ee3583bc-7c9a-46e8-b786-7b6d01eb6bd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583bc-7c9a-46e8-b786-7b6d01eb6bd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3583bc-7c9a-46e8-b786-7b6d01eb6bd0" xsi:nil="true"/>
  </documentManagement>
</p:properties>
</file>

<file path=customXml/itemProps1.xml><?xml version="1.0" encoding="utf-8"?>
<ds:datastoreItem xmlns:ds="http://schemas.openxmlformats.org/officeDocument/2006/customXml" ds:itemID="{A3DEB775-ECD9-4CAF-B01F-76EAD6DA0E99}">
  <ds:schemaRefs>
    <ds:schemaRef ds:uri="http://schemas.microsoft.com/sharepoint/v3/contenttype/forms"/>
  </ds:schemaRefs>
</ds:datastoreItem>
</file>

<file path=customXml/itemProps2.xml><?xml version="1.0" encoding="utf-8"?>
<ds:datastoreItem xmlns:ds="http://schemas.openxmlformats.org/officeDocument/2006/customXml" ds:itemID="{16905E96-4E1B-467C-AD9F-49385A5B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583bc-7c9a-46e8-b786-7b6d01eb6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FA7C7-2DCF-45AC-B5EE-CC06F5CD6D58}">
  <ds:schemaRefs>
    <ds:schemaRef ds:uri="http://schemas.microsoft.com/office/2006/metadata/properties"/>
    <ds:schemaRef ds:uri="http://schemas.microsoft.com/office/infopath/2007/PartnerControls"/>
    <ds:schemaRef ds:uri="ee3583bc-7c9a-46e8-b786-7b6d01eb6bd0"/>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Harish</dc:creator>
  <cp:keywords/>
  <dc:description/>
  <cp:lastModifiedBy>Heidi Wright</cp:lastModifiedBy>
  <cp:revision>15</cp:revision>
  <dcterms:created xsi:type="dcterms:W3CDTF">2025-03-19T13:23:00Z</dcterms:created>
  <dcterms:modified xsi:type="dcterms:W3CDTF">2025-03-28T11:58:00Z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0x0101003EA20E9DB197B34ABEB8EC6AFDA9E193</vt:lpwstr>
  </property>
  <property fmtid="{D5CDD505-2E9C-101B-9397-08002B2CF9AE}" pid="3" name="SecurityClassification">
    <vt:lpwstr/>
  </property>
  <property fmtid="{D5CDD505-2E9C-101B-9397-08002B2CF9AE}" pid="4" name="AgencyKeywords">
    <vt:lpwstr/>
  </property>
  <property fmtid="{D5CDD505-2E9C-101B-9397-08002B2CF9AE}" pid="5" name="ClassificationContentMarkingHeaderShapeIds">
    <vt:lpwstr>8</vt:lpwstr>
  </property>
  <property fmtid="{D5CDD505-2E9C-101B-9397-08002B2CF9AE}" pid="6" name="ClassificationContentMarkingHeaderFontProps">
    <vt:lpwstr>#000000,11,Calibri</vt:lpwstr>
  </property>
  <property fmtid="{D5CDD505-2E9C-101B-9397-08002B2CF9AE}" pid="7" name="ClassificationContentMarkingHeaderText">
    <vt:lpwstr>MHRA OFFICIAL SENSITIVE</vt:lpwstr>
  </property>
  <property fmtid="{D5CDD505-2E9C-101B-9397-08002B2CF9AE}" pid="8" name="MSIP_Label_03af6cf4-d093-4e69-90f5-823754e3ccdf_Enabled">
    <vt:lpwstr>true</vt:lpwstr>
  </property>
  <property fmtid="{D5CDD505-2E9C-101B-9397-08002B2CF9AE}" pid="9" name="MSIP_Label_03af6cf4-d093-4e69-90f5-823754e3ccdf_SetDate">
    <vt:lpwstr>2022-02-28T18:09:30Z</vt:lpwstr>
  </property>
  <property fmtid="{D5CDD505-2E9C-101B-9397-08002B2CF9AE}" pid="10" name="MSIP_Label_03af6cf4-d093-4e69-90f5-823754e3ccdf_Method">
    <vt:lpwstr>Privileged</vt:lpwstr>
  </property>
  <property fmtid="{D5CDD505-2E9C-101B-9397-08002B2CF9AE}" pid="11" name="MSIP_Label_03af6cf4-d093-4e69-90f5-823754e3ccdf_Name">
    <vt:lpwstr>Official</vt:lpwstr>
  </property>
  <property fmtid="{D5CDD505-2E9C-101B-9397-08002B2CF9AE}" pid="12" name="MSIP_Label_03af6cf4-d093-4e69-90f5-823754e3ccdf_SiteId">
    <vt:lpwstr>e527ea5c-6258-4cd2-a27f-8bd237ec4c26</vt:lpwstr>
  </property>
  <property fmtid="{D5CDD505-2E9C-101B-9397-08002B2CF9AE}" pid="13" name="MSIP_Label_03af6cf4-d093-4e69-90f5-823754e3ccdf_ActionId">
    <vt:lpwstr>961bb711-8a2b-4dd5-97f6-ee04d91dae85</vt:lpwstr>
  </property>
  <property fmtid="{D5CDD505-2E9C-101B-9397-08002B2CF9AE}" pid="14" name="MSIP_Label_03af6cf4-d093-4e69-90f5-823754e3ccdf_ContentBits">
    <vt:lpwstr>0</vt:lpwstr>
  </property>
</Properties>
</file>