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1139" w14:textId="4CF22599" w:rsidR="006A41EC" w:rsidRDefault="006A41EC" w:rsidP="006A41EC">
      <w:pPr>
        <w:rPr>
          <w:rFonts w:asciiTheme="majorHAnsi" w:hAnsiTheme="majorHAnsi" w:cs="Arial"/>
          <w:b/>
          <w:bCs/>
          <w:sz w:val="28"/>
          <w:szCs w:val="28"/>
        </w:rPr>
      </w:pPr>
      <w:r>
        <w:rPr>
          <w:noProof/>
        </w:rPr>
        <w:drawing>
          <wp:inline distT="0" distB="0" distL="0" distR="0" wp14:anchorId="4890DD2E" wp14:editId="60896DAD">
            <wp:extent cx="1652907" cy="488950"/>
            <wp:effectExtent l="0" t="0" r="4445" b="6350"/>
            <wp:docPr id="350575157"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75157" name="Picture 1" descr="A black background with blu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4897" cy="489539"/>
                    </a:xfrm>
                    <a:prstGeom prst="rect">
                      <a:avLst/>
                    </a:prstGeom>
                    <a:noFill/>
                    <a:ln>
                      <a:noFill/>
                    </a:ln>
                  </pic:spPr>
                </pic:pic>
              </a:graphicData>
            </a:graphic>
          </wp:inline>
        </w:drawing>
      </w:r>
    </w:p>
    <w:p w14:paraId="649C53CF" w14:textId="465897A9" w:rsidR="0094302B" w:rsidRDefault="006A41EC" w:rsidP="006A41EC">
      <w:pPr>
        <w:jc w:val="center"/>
        <w:rPr>
          <w:rFonts w:asciiTheme="majorHAnsi" w:hAnsiTheme="majorHAnsi" w:cs="Arial"/>
          <w:b/>
          <w:bCs/>
          <w:sz w:val="28"/>
          <w:szCs w:val="28"/>
        </w:rPr>
      </w:pPr>
      <w:r>
        <w:rPr>
          <w:rFonts w:asciiTheme="majorHAnsi" w:hAnsiTheme="majorHAnsi" w:cs="Arial"/>
          <w:b/>
          <w:bCs/>
          <w:sz w:val="28"/>
          <w:szCs w:val="28"/>
        </w:rPr>
        <w:t>LGBT+ Health Evidence Review: Evidence Submissions</w:t>
      </w:r>
    </w:p>
    <w:p w14:paraId="4FDBF5EF" w14:textId="40787215" w:rsidR="006A41EC" w:rsidRPr="0094302B" w:rsidRDefault="006A41EC" w:rsidP="006A41EC">
      <w:pPr>
        <w:jc w:val="center"/>
        <w:rPr>
          <w:rFonts w:cs="Arial"/>
          <w:sz w:val="22"/>
        </w:rPr>
      </w:pPr>
      <w:r>
        <w:rPr>
          <w:rFonts w:asciiTheme="majorHAnsi" w:hAnsiTheme="majorHAnsi" w:cs="Arial"/>
          <w:b/>
          <w:bCs/>
          <w:sz w:val="28"/>
          <w:szCs w:val="28"/>
        </w:rPr>
        <w:t>Royal Pharmaceutical Society Submission</w:t>
      </w:r>
    </w:p>
    <w:p w14:paraId="01AF3CDF" w14:textId="77777777" w:rsidR="004D6B35" w:rsidRPr="004D6B35" w:rsidRDefault="004D6B35">
      <w:pPr>
        <w:rPr>
          <w:rFonts w:cs="Arial"/>
          <w:sz w:val="22"/>
        </w:rPr>
      </w:pPr>
    </w:p>
    <w:p w14:paraId="37A6529E" w14:textId="47FB6A0D" w:rsidR="001B1941" w:rsidRDefault="009859E1">
      <w:pPr>
        <w:rPr>
          <w:rFonts w:cs="Arial"/>
          <w:b/>
          <w:bCs/>
          <w:szCs w:val="20"/>
        </w:rPr>
      </w:pPr>
      <w:r w:rsidRPr="009859E1">
        <w:rPr>
          <w:rFonts w:cs="Arial"/>
          <w:b/>
          <w:bCs/>
          <w:szCs w:val="20"/>
        </w:rPr>
        <w:t xml:space="preserve">Inclusion and Diversity </w:t>
      </w:r>
      <w:r w:rsidR="005B22CB">
        <w:rPr>
          <w:rFonts w:cs="Arial"/>
          <w:b/>
          <w:bCs/>
          <w:szCs w:val="20"/>
        </w:rPr>
        <w:t xml:space="preserve">(I&amp;D) </w:t>
      </w:r>
      <w:r w:rsidRPr="009859E1">
        <w:rPr>
          <w:rFonts w:cs="Arial"/>
          <w:b/>
          <w:bCs/>
          <w:szCs w:val="20"/>
        </w:rPr>
        <w:t>in the Pharmacy Profession | RPS Survey 2023</w:t>
      </w:r>
      <w:r w:rsidR="00225B76">
        <w:rPr>
          <w:rFonts w:cs="Arial"/>
          <w:b/>
          <w:bCs/>
          <w:szCs w:val="20"/>
        </w:rPr>
        <w:t xml:space="preserve"> (unpublished)</w:t>
      </w:r>
    </w:p>
    <w:p w14:paraId="2A14DC46" w14:textId="77777777" w:rsidR="00312124" w:rsidRPr="00312124" w:rsidRDefault="00312124" w:rsidP="00312124">
      <w:pPr>
        <w:rPr>
          <w:rFonts w:cs="Arial"/>
          <w:b/>
          <w:bCs/>
          <w:szCs w:val="20"/>
        </w:rPr>
      </w:pPr>
      <w:r>
        <w:t xml:space="preserve">The RPS conducted an internal evaluation of the I&amp;D Programme in 2023. </w:t>
      </w:r>
      <w:r w:rsidRPr="4382082F">
        <w:t>A total of 620 responses were received</w:t>
      </w:r>
      <w:r>
        <w:t>. The s</w:t>
      </w:r>
      <w:r w:rsidRPr="4382082F">
        <w:t>ample is comprised predominantly of white, able, women; however, our analyses</w:t>
      </w:r>
      <w:r>
        <w:t xml:space="preserve"> </w:t>
      </w:r>
      <w:r w:rsidRPr="4382082F">
        <w:t>have accounted for this disproportionate representation</w:t>
      </w:r>
      <w:r>
        <w:t xml:space="preserve"> and, where possible, highlighted where this may have impacted quantitative findings</w:t>
      </w:r>
      <w:r w:rsidRPr="4382082F">
        <w:t>.</w:t>
      </w:r>
    </w:p>
    <w:p w14:paraId="67A87354" w14:textId="77777777" w:rsidR="006552BF" w:rsidRDefault="00312124" w:rsidP="00312124">
      <w:r>
        <w:t xml:space="preserve">In this survey, we asked pharmacy professionals to share their thoughts, experiences, and opinions on </w:t>
      </w:r>
      <w:proofErr w:type="gramStart"/>
      <w:r>
        <w:t>a number of</w:t>
      </w:r>
      <w:proofErr w:type="gramEnd"/>
      <w:r>
        <w:t xml:space="preserve"> topics, including patient access to care. </w:t>
      </w:r>
      <w:r w:rsidR="006552BF">
        <w:t>Two</w:t>
      </w:r>
      <w:r>
        <w:t xml:space="preserve"> question</w:t>
      </w:r>
      <w:r w:rsidR="006552BF">
        <w:t>s are</w:t>
      </w:r>
      <w:r>
        <w:t xml:space="preserve"> of </w:t>
      </w:r>
      <w:proofErr w:type="gramStart"/>
      <w:r>
        <w:t>particular relevance</w:t>
      </w:r>
      <w:proofErr w:type="gramEnd"/>
      <w:r>
        <w:t xml:space="preserve"> to this call for evidence: </w:t>
      </w:r>
    </w:p>
    <w:p w14:paraId="2FCE3979" w14:textId="49DB6392" w:rsidR="006552BF" w:rsidRDefault="00391899" w:rsidP="006552BF">
      <w:pPr>
        <w:pStyle w:val="ListParagraph"/>
        <w:numPr>
          <w:ilvl w:val="0"/>
          <w:numId w:val="7"/>
        </w:numPr>
      </w:pPr>
      <w:r w:rsidRPr="00391899">
        <w:t>To what extent do you think current pharmacy services provided to patients and members of the public support Inclusion and Diversity for the below characteristics?</w:t>
      </w:r>
    </w:p>
    <w:p w14:paraId="7218C6E3" w14:textId="4C210A0E" w:rsidR="00391899" w:rsidRPr="00391899" w:rsidRDefault="00391899" w:rsidP="00391899">
      <w:pPr>
        <w:rPr>
          <w:i/>
          <w:iCs/>
          <w:sz w:val="14"/>
          <w:szCs w:val="16"/>
        </w:rPr>
      </w:pPr>
      <w:r w:rsidRPr="00391899">
        <w:rPr>
          <w:i/>
          <w:iCs/>
          <w:sz w:val="14"/>
          <w:szCs w:val="16"/>
        </w:rPr>
        <w:t xml:space="preserve">Table 1: Responses to RPS I&amp;D Programme evaluation </w:t>
      </w:r>
      <w:r w:rsidR="00D23FED">
        <w:rPr>
          <w:i/>
          <w:iCs/>
          <w:sz w:val="14"/>
          <w:szCs w:val="16"/>
        </w:rPr>
        <w:t xml:space="preserve">2023 </w:t>
      </w:r>
      <w:r w:rsidRPr="00391899">
        <w:rPr>
          <w:i/>
          <w:iCs/>
          <w:sz w:val="14"/>
          <w:szCs w:val="16"/>
        </w:rPr>
        <w:t>Survey Q34. N=620.</w:t>
      </w:r>
    </w:p>
    <w:tbl>
      <w:tblPr>
        <w:tblStyle w:val="TableGrid"/>
        <w:tblW w:w="9997" w:type="dxa"/>
        <w:tblLook w:val="04A0" w:firstRow="1" w:lastRow="0" w:firstColumn="1" w:lastColumn="0" w:noHBand="0" w:noVBand="1"/>
      </w:tblPr>
      <w:tblGrid>
        <w:gridCol w:w="1988"/>
        <w:gridCol w:w="1605"/>
        <w:gridCol w:w="1635"/>
        <w:gridCol w:w="1559"/>
        <w:gridCol w:w="1605"/>
        <w:gridCol w:w="1605"/>
      </w:tblGrid>
      <w:tr w:rsidR="00391899" w:rsidRPr="00391899" w14:paraId="43FC5624" w14:textId="77777777" w:rsidTr="00391899">
        <w:trPr>
          <w:trHeight w:val="512"/>
        </w:trPr>
        <w:tc>
          <w:tcPr>
            <w:tcW w:w="1988" w:type="dxa"/>
            <w:hideMark/>
          </w:tcPr>
          <w:p w14:paraId="6320F81F" w14:textId="7957C026" w:rsidR="00391899" w:rsidRPr="00391899" w:rsidRDefault="00391899">
            <w:pPr>
              <w:rPr>
                <w:b/>
                <w:bCs/>
                <w:sz w:val="18"/>
                <w:szCs w:val="18"/>
              </w:rPr>
            </w:pPr>
          </w:p>
        </w:tc>
        <w:tc>
          <w:tcPr>
            <w:tcW w:w="1605" w:type="dxa"/>
            <w:hideMark/>
          </w:tcPr>
          <w:p w14:paraId="02DBA724" w14:textId="77777777" w:rsidR="00391899" w:rsidRPr="00391899" w:rsidRDefault="00391899">
            <w:pPr>
              <w:rPr>
                <w:b/>
                <w:bCs/>
                <w:sz w:val="18"/>
                <w:szCs w:val="18"/>
              </w:rPr>
            </w:pPr>
            <w:r w:rsidRPr="00391899">
              <w:rPr>
                <w:b/>
                <w:bCs/>
                <w:sz w:val="18"/>
                <w:szCs w:val="18"/>
              </w:rPr>
              <w:t>Very supportive</w:t>
            </w:r>
          </w:p>
        </w:tc>
        <w:tc>
          <w:tcPr>
            <w:tcW w:w="1635" w:type="dxa"/>
            <w:hideMark/>
          </w:tcPr>
          <w:p w14:paraId="3FA7B671" w14:textId="77777777" w:rsidR="00391899" w:rsidRPr="00391899" w:rsidRDefault="00391899">
            <w:pPr>
              <w:rPr>
                <w:b/>
                <w:bCs/>
                <w:sz w:val="18"/>
                <w:szCs w:val="18"/>
              </w:rPr>
            </w:pPr>
            <w:r w:rsidRPr="00391899">
              <w:rPr>
                <w:b/>
                <w:bCs/>
                <w:sz w:val="18"/>
                <w:szCs w:val="18"/>
              </w:rPr>
              <w:t>Somewhat supportive</w:t>
            </w:r>
          </w:p>
        </w:tc>
        <w:tc>
          <w:tcPr>
            <w:tcW w:w="1559" w:type="dxa"/>
            <w:hideMark/>
          </w:tcPr>
          <w:p w14:paraId="200EE6E5" w14:textId="77777777" w:rsidR="00391899" w:rsidRPr="00391899" w:rsidRDefault="00391899">
            <w:pPr>
              <w:rPr>
                <w:b/>
                <w:bCs/>
                <w:sz w:val="18"/>
                <w:szCs w:val="18"/>
              </w:rPr>
            </w:pPr>
            <w:r w:rsidRPr="00391899">
              <w:rPr>
                <w:b/>
                <w:bCs/>
                <w:sz w:val="18"/>
                <w:szCs w:val="18"/>
              </w:rPr>
              <w:t>Indifferent</w:t>
            </w:r>
          </w:p>
        </w:tc>
        <w:tc>
          <w:tcPr>
            <w:tcW w:w="1605" w:type="dxa"/>
            <w:hideMark/>
          </w:tcPr>
          <w:p w14:paraId="76BCA180" w14:textId="77777777" w:rsidR="00391899" w:rsidRPr="00391899" w:rsidRDefault="00391899">
            <w:pPr>
              <w:rPr>
                <w:b/>
                <w:bCs/>
                <w:sz w:val="18"/>
                <w:szCs w:val="18"/>
              </w:rPr>
            </w:pPr>
            <w:r w:rsidRPr="00391899">
              <w:rPr>
                <w:b/>
                <w:bCs/>
                <w:sz w:val="18"/>
                <w:szCs w:val="18"/>
              </w:rPr>
              <w:t>Not very supportive</w:t>
            </w:r>
          </w:p>
        </w:tc>
        <w:tc>
          <w:tcPr>
            <w:tcW w:w="1605" w:type="dxa"/>
            <w:hideMark/>
          </w:tcPr>
          <w:p w14:paraId="3D8CA230" w14:textId="77777777" w:rsidR="00391899" w:rsidRPr="00391899" w:rsidRDefault="00391899">
            <w:pPr>
              <w:rPr>
                <w:b/>
                <w:bCs/>
                <w:sz w:val="18"/>
                <w:szCs w:val="18"/>
              </w:rPr>
            </w:pPr>
            <w:r w:rsidRPr="00391899">
              <w:rPr>
                <w:b/>
                <w:bCs/>
                <w:sz w:val="18"/>
                <w:szCs w:val="18"/>
              </w:rPr>
              <w:t>Not at all supportive</w:t>
            </w:r>
          </w:p>
        </w:tc>
      </w:tr>
      <w:tr w:rsidR="00391899" w:rsidRPr="00391899" w14:paraId="521BFE58" w14:textId="77777777" w:rsidTr="00391899">
        <w:trPr>
          <w:trHeight w:val="279"/>
        </w:trPr>
        <w:tc>
          <w:tcPr>
            <w:tcW w:w="1988" w:type="dxa"/>
            <w:hideMark/>
          </w:tcPr>
          <w:p w14:paraId="428177D2" w14:textId="77777777" w:rsidR="00391899" w:rsidRPr="00391899" w:rsidRDefault="00391899">
            <w:pPr>
              <w:rPr>
                <w:b/>
                <w:bCs/>
                <w:sz w:val="18"/>
                <w:szCs w:val="18"/>
              </w:rPr>
            </w:pPr>
            <w:r w:rsidRPr="00391899">
              <w:rPr>
                <w:b/>
                <w:bCs/>
                <w:sz w:val="18"/>
                <w:szCs w:val="18"/>
              </w:rPr>
              <w:t>Age</w:t>
            </w:r>
          </w:p>
        </w:tc>
        <w:tc>
          <w:tcPr>
            <w:tcW w:w="1605" w:type="dxa"/>
            <w:hideMark/>
          </w:tcPr>
          <w:p w14:paraId="7BDE9DD5" w14:textId="77777777" w:rsidR="00391899" w:rsidRPr="00391899" w:rsidRDefault="00391899" w:rsidP="00391899">
            <w:pPr>
              <w:rPr>
                <w:sz w:val="18"/>
                <w:szCs w:val="18"/>
              </w:rPr>
            </w:pPr>
            <w:r w:rsidRPr="00391899">
              <w:rPr>
                <w:sz w:val="18"/>
                <w:szCs w:val="18"/>
              </w:rPr>
              <w:t>46%</w:t>
            </w:r>
          </w:p>
        </w:tc>
        <w:tc>
          <w:tcPr>
            <w:tcW w:w="1635" w:type="dxa"/>
            <w:hideMark/>
          </w:tcPr>
          <w:p w14:paraId="2659FFD3" w14:textId="77777777" w:rsidR="00391899" w:rsidRPr="00391899" w:rsidRDefault="00391899" w:rsidP="00391899">
            <w:pPr>
              <w:rPr>
                <w:sz w:val="18"/>
                <w:szCs w:val="18"/>
              </w:rPr>
            </w:pPr>
            <w:r w:rsidRPr="00391899">
              <w:rPr>
                <w:sz w:val="18"/>
                <w:szCs w:val="18"/>
              </w:rPr>
              <w:t>36%</w:t>
            </w:r>
          </w:p>
        </w:tc>
        <w:tc>
          <w:tcPr>
            <w:tcW w:w="1559" w:type="dxa"/>
            <w:hideMark/>
          </w:tcPr>
          <w:p w14:paraId="65B7F67A" w14:textId="77777777" w:rsidR="00391899" w:rsidRPr="00391899" w:rsidRDefault="00391899" w:rsidP="00391899">
            <w:pPr>
              <w:rPr>
                <w:sz w:val="18"/>
                <w:szCs w:val="18"/>
              </w:rPr>
            </w:pPr>
            <w:r w:rsidRPr="00391899">
              <w:rPr>
                <w:sz w:val="18"/>
                <w:szCs w:val="18"/>
              </w:rPr>
              <w:t>13%</w:t>
            </w:r>
          </w:p>
        </w:tc>
        <w:tc>
          <w:tcPr>
            <w:tcW w:w="1605" w:type="dxa"/>
            <w:hideMark/>
          </w:tcPr>
          <w:p w14:paraId="5D778255" w14:textId="77777777" w:rsidR="00391899" w:rsidRPr="00391899" w:rsidRDefault="00391899" w:rsidP="00391899">
            <w:pPr>
              <w:rPr>
                <w:sz w:val="18"/>
                <w:szCs w:val="18"/>
              </w:rPr>
            </w:pPr>
            <w:r w:rsidRPr="00391899">
              <w:rPr>
                <w:sz w:val="18"/>
                <w:szCs w:val="18"/>
              </w:rPr>
              <w:t>4%</w:t>
            </w:r>
          </w:p>
        </w:tc>
        <w:tc>
          <w:tcPr>
            <w:tcW w:w="1605" w:type="dxa"/>
            <w:hideMark/>
          </w:tcPr>
          <w:p w14:paraId="4CCFD2D1" w14:textId="77777777" w:rsidR="00391899" w:rsidRPr="00391899" w:rsidRDefault="00391899" w:rsidP="00391899">
            <w:pPr>
              <w:rPr>
                <w:sz w:val="18"/>
                <w:szCs w:val="18"/>
              </w:rPr>
            </w:pPr>
            <w:r w:rsidRPr="00391899">
              <w:rPr>
                <w:sz w:val="18"/>
                <w:szCs w:val="18"/>
              </w:rPr>
              <w:t>1%</w:t>
            </w:r>
          </w:p>
        </w:tc>
      </w:tr>
      <w:tr w:rsidR="00391899" w:rsidRPr="00391899" w14:paraId="16FB977C" w14:textId="77777777" w:rsidTr="00391899">
        <w:trPr>
          <w:trHeight w:val="279"/>
        </w:trPr>
        <w:tc>
          <w:tcPr>
            <w:tcW w:w="1988" w:type="dxa"/>
            <w:hideMark/>
          </w:tcPr>
          <w:p w14:paraId="16F96A7C" w14:textId="77777777" w:rsidR="00391899" w:rsidRPr="00391899" w:rsidRDefault="00391899">
            <w:pPr>
              <w:rPr>
                <w:b/>
                <w:bCs/>
                <w:sz w:val="18"/>
                <w:szCs w:val="18"/>
              </w:rPr>
            </w:pPr>
            <w:r w:rsidRPr="00391899">
              <w:rPr>
                <w:b/>
                <w:bCs/>
                <w:sz w:val="18"/>
                <w:szCs w:val="18"/>
              </w:rPr>
              <w:t>Disability</w:t>
            </w:r>
          </w:p>
        </w:tc>
        <w:tc>
          <w:tcPr>
            <w:tcW w:w="1605" w:type="dxa"/>
            <w:hideMark/>
          </w:tcPr>
          <w:p w14:paraId="7976DBD4" w14:textId="77777777" w:rsidR="00391899" w:rsidRPr="00391899" w:rsidRDefault="00391899" w:rsidP="00391899">
            <w:pPr>
              <w:rPr>
                <w:sz w:val="18"/>
                <w:szCs w:val="18"/>
              </w:rPr>
            </w:pPr>
            <w:r w:rsidRPr="00391899">
              <w:rPr>
                <w:sz w:val="18"/>
                <w:szCs w:val="18"/>
              </w:rPr>
              <w:t>27%</w:t>
            </w:r>
          </w:p>
        </w:tc>
        <w:tc>
          <w:tcPr>
            <w:tcW w:w="1635" w:type="dxa"/>
            <w:hideMark/>
          </w:tcPr>
          <w:p w14:paraId="5FDC4A7A" w14:textId="77777777" w:rsidR="00391899" w:rsidRPr="00391899" w:rsidRDefault="00391899" w:rsidP="00391899">
            <w:pPr>
              <w:rPr>
                <w:sz w:val="18"/>
                <w:szCs w:val="18"/>
              </w:rPr>
            </w:pPr>
            <w:r w:rsidRPr="00391899">
              <w:rPr>
                <w:sz w:val="18"/>
                <w:szCs w:val="18"/>
              </w:rPr>
              <w:t>46%</w:t>
            </w:r>
          </w:p>
        </w:tc>
        <w:tc>
          <w:tcPr>
            <w:tcW w:w="1559" w:type="dxa"/>
            <w:hideMark/>
          </w:tcPr>
          <w:p w14:paraId="21220AE8" w14:textId="77777777" w:rsidR="00391899" w:rsidRPr="00391899" w:rsidRDefault="00391899" w:rsidP="00391899">
            <w:pPr>
              <w:rPr>
                <w:sz w:val="18"/>
                <w:szCs w:val="18"/>
              </w:rPr>
            </w:pPr>
            <w:r w:rsidRPr="00391899">
              <w:rPr>
                <w:sz w:val="18"/>
                <w:szCs w:val="18"/>
              </w:rPr>
              <w:t>14%</w:t>
            </w:r>
          </w:p>
        </w:tc>
        <w:tc>
          <w:tcPr>
            <w:tcW w:w="1605" w:type="dxa"/>
            <w:hideMark/>
          </w:tcPr>
          <w:p w14:paraId="32091EEE" w14:textId="77777777" w:rsidR="00391899" w:rsidRPr="00391899" w:rsidRDefault="00391899" w:rsidP="00391899">
            <w:pPr>
              <w:rPr>
                <w:sz w:val="18"/>
                <w:szCs w:val="18"/>
              </w:rPr>
            </w:pPr>
            <w:r w:rsidRPr="00391899">
              <w:rPr>
                <w:sz w:val="18"/>
                <w:szCs w:val="18"/>
              </w:rPr>
              <w:t>11%</w:t>
            </w:r>
          </w:p>
        </w:tc>
        <w:tc>
          <w:tcPr>
            <w:tcW w:w="1605" w:type="dxa"/>
            <w:hideMark/>
          </w:tcPr>
          <w:p w14:paraId="22F4503A" w14:textId="77777777" w:rsidR="00391899" w:rsidRPr="00391899" w:rsidRDefault="00391899" w:rsidP="00391899">
            <w:pPr>
              <w:rPr>
                <w:sz w:val="18"/>
                <w:szCs w:val="18"/>
              </w:rPr>
            </w:pPr>
            <w:r w:rsidRPr="00391899">
              <w:rPr>
                <w:sz w:val="18"/>
                <w:szCs w:val="18"/>
              </w:rPr>
              <w:t>2%</w:t>
            </w:r>
          </w:p>
        </w:tc>
      </w:tr>
      <w:tr w:rsidR="00391899" w:rsidRPr="00B12E34" w14:paraId="187C61AA" w14:textId="77777777" w:rsidTr="00B12E34">
        <w:trPr>
          <w:trHeight w:val="279"/>
        </w:trPr>
        <w:tc>
          <w:tcPr>
            <w:tcW w:w="1988" w:type="dxa"/>
            <w:shd w:val="clear" w:color="auto" w:fill="FFFF00"/>
            <w:hideMark/>
          </w:tcPr>
          <w:p w14:paraId="4CEF3535" w14:textId="77777777" w:rsidR="00391899" w:rsidRPr="00B12E34" w:rsidRDefault="00391899">
            <w:pPr>
              <w:rPr>
                <w:b/>
                <w:bCs/>
                <w:sz w:val="18"/>
                <w:szCs w:val="18"/>
              </w:rPr>
            </w:pPr>
            <w:r w:rsidRPr="00B12E34">
              <w:rPr>
                <w:b/>
                <w:bCs/>
                <w:sz w:val="18"/>
                <w:szCs w:val="18"/>
              </w:rPr>
              <w:t>Genger reassignment</w:t>
            </w:r>
          </w:p>
        </w:tc>
        <w:tc>
          <w:tcPr>
            <w:tcW w:w="1605" w:type="dxa"/>
            <w:shd w:val="clear" w:color="auto" w:fill="FFFF00"/>
            <w:hideMark/>
          </w:tcPr>
          <w:p w14:paraId="0FD8FED5" w14:textId="77777777" w:rsidR="00391899" w:rsidRPr="00B12E34" w:rsidRDefault="00391899" w:rsidP="00391899">
            <w:pPr>
              <w:rPr>
                <w:sz w:val="18"/>
                <w:szCs w:val="18"/>
              </w:rPr>
            </w:pPr>
            <w:r w:rsidRPr="00B12E34">
              <w:rPr>
                <w:sz w:val="18"/>
                <w:szCs w:val="18"/>
              </w:rPr>
              <w:t>15%</w:t>
            </w:r>
          </w:p>
        </w:tc>
        <w:tc>
          <w:tcPr>
            <w:tcW w:w="1635" w:type="dxa"/>
            <w:shd w:val="clear" w:color="auto" w:fill="FFFF00"/>
            <w:hideMark/>
          </w:tcPr>
          <w:p w14:paraId="12B4FD49" w14:textId="77777777" w:rsidR="00391899" w:rsidRPr="00B12E34" w:rsidRDefault="00391899" w:rsidP="00391899">
            <w:pPr>
              <w:rPr>
                <w:sz w:val="18"/>
                <w:szCs w:val="18"/>
              </w:rPr>
            </w:pPr>
            <w:r w:rsidRPr="00B12E34">
              <w:rPr>
                <w:sz w:val="18"/>
                <w:szCs w:val="18"/>
              </w:rPr>
              <w:t>28%</w:t>
            </w:r>
          </w:p>
        </w:tc>
        <w:tc>
          <w:tcPr>
            <w:tcW w:w="1559" w:type="dxa"/>
            <w:shd w:val="clear" w:color="auto" w:fill="FFFF00"/>
            <w:hideMark/>
          </w:tcPr>
          <w:p w14:paraId="44658D12" w14:textId="77777777" w:rsidR="00391899" w:rsidRPr="00B12E34" w:rsidRDefault="00391899" w:rsidP="00391899">
            <w:pPr>
              <w:rPr>
                <w:sz w:val="18"/>
                <w:szCs w:val="18"/>
              </w:rPr>
            </w:pPr>
            <w:r w:rsidRPr="00B12E34">
              <w:rPr>
                <w:sz w:val="18"/>
                <w:szCs w:val="18"/>
              </w:rPr>
              <w:t>40%</w:t>
            </w:r>
          </w:p>
        </w:tc>
        <w:tc>
          <w:tcPr>
            <w:tcW w:w="1605" w:type="dxa"/>
            <w:shd w:val="clear" w:color="auto" w:fill="FFFF00"/>
            <w:hideMark/>
          </w:tcPr>
          <w:p w14:paraId="06E1C42F" w14:textId="77777777" w:rsidR="00391899" w:rsidRPr="00B12E34" w:rsidRDefault="00391899" w:rsidP="00391899">
            <w:pPr>
              <w:rPr>
                <w:sz w:val="18"/>
                <w:szCs w:val="18"/>
              </w:rPr>
            </w:pPr>
            <w:r w:rsidRPr="00B12E34">
              <w:rPr>
                <w:sz w:val="18"/>
                <w:szCs w:val="18"/>
              </w:rPr>
              <w:t>14%</w:t>
            </w:r>
          </w:p>
        </w:tc>
        <w:tc>
          <w:tcPr>
            <w:tcW w:w="1605" w:type="dxa"/>
            <w:shd w:val="clear" w:color="auto" w:fill="FFFF00"/>
            <w:hideMark/>
          </w:tcPr>
          <w:p w14:paraId="1E2FEDFB" w14:textId="77777777" w:rsidR="00391899" w:rsidRPr="00B12E34" w:rsidRDefault="00391899" w:rsidP="00391899">
            <w:pPr>
              <w:rPr>
                <w:sz w:val="18"/>
                <w:szCs w:val="18"/>
              </w:rPr>
            </w:pPr>
            <w:r w:rsidRPr="00B12E34">
              <w:rPr>
                <w:sz w:val="18"/>
                <w:szCs w:val="18"/>
              </w:rPr>
              <w:t>4%</w:t>
            </w:r>
          </w:p>
        </w:tc>
      </w:tr>
      <w:tr w:rsidR="00391899" w:rsidRPr="00391899" w14:paraId="122F8A29" w14:textId="77777777" w:rsidTr="00391899">
        <w:trPr>
          <w:trHeight w:val="279"/>
        </w:trPr>
        <w:tc>
          <w:tcPr>
            <w:tcW w:w="1988" w:type="dxa"/>
            <w:hideMark/>
          </w:tcPr>
          <w:p w14:paraId="76BB856E" w14:textId="77777777" w:rsidR="00391899" w:rsidRPr="00391899" w:rsidRDefault="00391899">
            <w:pPr>
              <w:rPr>
                <w:b/>
                <w:bCs/>
                <w:sz w:val="18"/>
                <w:szCs w:val="18"/>
              </w:rPr>
            </w:pPr>
            <w:r w:rsidRPr="00391899">
              <w:rPr>
                <w:b/>
                <w:bCs/>
                <w:sz w:val="18"/>
                <w:szCs w:val="18"/>
              </w:rPr>
              <w:t>Marriage and civil partnership</w:t>
            </w:r>
          </w:p>
        </w:tc>
        <w:tc>
          <w:tcPr>
            <w:tcW w:w="1605" w:type="dxa"/>
            <w:hideMark/>
          </w:tcPr>
          <w:p w14:paraId="12FAC287" w14:textId="77777777" w:rsidR="00391899" w:rsidRPr="00391899" w:rsidRDefault="00391899" w:rsidP="00391899">
            <w:pPr>
              <w:rPr>
                <w:sz w:val="18"/>
                <w:szCs w:val="18"/>
              </w:rPr>
            </w:pPr>
            <w:r w:rsidRPr="00391899">
              <w:rPr>
                <w:sz w:val="18"/>
                <w:szCs w:val="18"/>
              </w:rPr>
              <w:t>34%</w:t>
            </w:r>
          </w:p>
        </w:tc>
        <w:tc>
          <w:tcPr>
            <w:tcW w:w="1635" w:type="dxa"/>
            <w:hideMark/>
          </w:tcPr>
          <w:p w14:paraId="3905685F" w14:textId="77777777" w:rsidR="00391899" w:rsidRPr="00391899" w:rsidRDefault="00391899" w:rsidP="00391899">
            <w:pPr>
              <w:rPr>
                <w:sz w:val="18"/>
                <w:szCs w:val="18"/>
              </w:rPr>
            </w:pPr>
            <w:r w:rsidRPr="00391899">
              <w:rPr>
                <w:sz w:val="18"/>
                <w:szCs w:val="18"/>
              </w:rPr>
              <w:t>24%</w:t>
            </w:r>
          </w:p>
        </w:tc>
        <w:tc>
          <w:tcPr>
            <w:tcW w:w="1559" w:type="dxa"/>
            <w:hideMark/>
          </w:tcPr>
          <w:p w14:paraId="1F81C840" w14:textId="77777777" w:rsidR="00391899" w:rsidRPr="00391899" w:rsidRDefault="00391899" w:rsidP="00391899">
            <w:pPr>
              <w:rPr>
                <w:sz w:val="18"/>
                <w:szCs w:val="18"/>
              </w:rPr>
            </w:pPr>
            <w:r w:rsidRPr="00391899">
              <w:rPr>
                <w:sz w:val="18"/>
                <w:szCs w:val="18"/>
              </w:rPr>
              <w:t>39%</w:t>
            </w:r>
          </w:p>
        </w:tc>
        <w:tc>
          <w:tcPr>
            <w:tcW w:w="1605" w:type="dxa"/>
            <w:hideMark/>
          </w:tcPr>
          <w:p w14:paraId="50EBFA84" w14:textId="77777777" w:rsidR="00391899" w:rsidRPr="00391899" w:rsidRDefault="00391899" w:rsidP="00391899">
            <w:pPr>
              <w:rPr>
                <w:sz w:val="18"/>
                <w:szCs w:val="18"/>
              </w:rPr>
            </w:pPr>
            <w:r w:rsidRPr="00391899">
              <w:rPr>
                <w:sz w:val="18"/>
                <w:szCs w:val="18"/>
              </w:rPr>
              <w:t>2%</w:t>
            </w:r>
          </w:p>
        </w:tc>
        <w:tc>
          <w:tcPr>
            <w:tcW w:w="1605" w:type="dxa"/>
            <w:hideMark/>
          </w:tcPr>
          <w:p w14:paraId="07F68DCC" w14:textId="77777777" w:rsidR="00391899" w:rsidRPr="00391899" w:rsidRDefault="00391899" w:rsidP="00391899">
            <w:pPr>
              <w:rPr>
                <w:sz w:val="18"/>
                <w:szCs w:val="18"/>
              </w:rPr>
            </w:pPr>
            <w:r w:rsidRPr="00391899">
              <w:rPr>
                <w:sz w:val="18"/>
                <w:szCs w:val="18"/>
              </w:rPr>
              <w:t>1%</w:t>
            </w:r>
          </w:p>
        </w:tc>
      </w:tr>
      <w:tr w:rsidR="00391899" w:rsidRPr="00391899" w14:paraId="73B12371" w14:textId="77777777" w:rsidTr="00391899">
        <w:trPr>
          <w:trHeight w:val="279"/>
        </w:trPr>
        <w:tc>
          <w:tcPr>
            <w:tcW w:w="1988" w:type="dxa"/>
            <w:hideMark/>
          </w:tcPr>
          <w:p w14:paraId="44D3FB6B" w14:textId="77777777" w:rsidR="00391899" w:rsidRPr="00391899" w:rsidRDefault="00391899">
            <w:pPr>
              <w:rPr>
                <w:b/>
                <w:bCs/>
                <w:sz w:val="18"/>
                <w:szCs w:val="18"/>
              </w:rPr>
            </w:pPr>
            <w:r w:rsidRPr="00391899">
              <w:rPr>
                <w:b/>
                <w:bCs/>
                <w:sz w:val="18"/>
                <w:szCs w:val="18"/>
              </w:rPr>
              <w:t>Pregnancy and maternity</w:t>
            </w:r>
          </w:p>
        </w:tc>
        <w:tc>
          <w:tcPr>
            <w:tcW w:w="1605" w:type="dxa"/>
            <w:hideMark/>
          </w:tcPr>
          <w:p w14:paraId="13611E60" w14:textId="77777777" w:rsidR="00391899" w:rsidRPr="00391899" w:rsidRDefault="00391899" w:rsidP="00391899">
            <w:pPr>
              <w:rPr>
                <w:sz w:val="18"/>
                <w:szCs w:val="18"/>
              </w:rPr>
            </w:pPr>
            <w:r w:rsidRPr="00391899">
              <w:rPr>
                <w:sz w:val="18"/>
                <w:szCs w:val="18"/>
              </w:rPr>
              <w:t>48%</w:t>
            </w:r>
          </w:p>
        </w:tc>
        <w:tc>
          <w:tcPr>
            <w:tcW w:w="1635" w:type="dxa"/>
            <w:hideMark/>
          </w:tcPr>
          <w:p w14:paraId="0FD70EF0" w14:textId="77777777" w:rsidR="00391899" w:rsidRPr="00391899" w:rsidRDefault="00391899" w:rsidP="00391899">
            <w:pPr>
              <w:rPr>
                <w:sz w:val="18"/>
                <w:szCs w:val="18"/>
              </w:rPr>
            </w:pPr>
            <w:r w:rsidRPr="00391899">
              <w:rPr>
                <w:sz w:val="18"/>
                <w:szCs w:val="18"/>
              </w:rPr>
              <w:t>36%</w:t>
            </w:r>
          </w:p>
        </w:tc>
        <w:tc>
          <w:tcPr>
            <w:tcW w:w="1559" w:type="dxa"/>
            <w:hideMark/>
          </w:tcPr>
          <w:p w14:paraId="4864BA4B" w14:textId="77777777" w:rsidR="00391899" w:rsidRPr="00391899" w:rsidRDefault="00391899" w:rsidP="00391899">
            <w:pPr>
              <w:rPr>
                <w:sz w:val="18"/>
                <w:szCs w:val="18"/>
              </w:rPr>
            </w:pPr>
            <w:r w:rsidRPr="00391899">
              <w:rPr>
                <w:sz w:val="18"/>
                <w:szCs w:val="18"/>
              </w:rPr>
              <w:t>12%</w:t>
            </w:r>
          </w:p>
        </w:tc>
        <w:tc>
          <w:tcPr>
            <w:tcW w:w="1605" w:type="dxa"/>
            <w:hideMark/>
          </w:tcPr>
          <w:p w14:paraId="5B4BB66C" w14:textId="77777777" w:rsidR="00391899" w:rsidRPr="00391899" w:rsidRDefault="00391899" w:rsidP="00391899">
            <w:pPr>
              <w:rPr>
                <w:sz w:val="18"/>
                <w:szCs w:val="18"/>
              </w:rPr>
            </w:pPr>
            <w:r w:rsidRPr="00391899">
              <w:rPr>
                <w:sz w:val="18"/>
                <w:szCs w:val="18"/>
              </w:rPr>
              <w:t>3%</w:t>
            </w:r>
          </w:p>
        </w:tc>
        <w:tc>
          <w:tcPr>
            <w:tcW w:w="1605" w:type="dxa"/>
            <w:hideMark/>
          </w:tcPr>
          <w:p w14:paraId="02A22BA6" w14:textId="77777777" w:rsidR="00391899" w:rsidRPr="00391899" w:rsidRDefault="00391899" w:rsidP="00391899">
            <w:pPr>
              <w:rPr>
                <w:sz w:val="18"/>
                <w:szCs w:val="18"/>
              </w:rPr>
            </w:pPr>
            <w:r w:rsidRPr="00391899">
              <w:rPr>
                <w:sz w:val="18"/>
                <w:szCs w:val="18"/>
              </w:rPr>
              <w:t>1%</w:t>
            </w:r>
          </w:p>
        </w:tc>
      </w:tr>
      <w:tr w:rsidR="00391899" w:rsidRPr="00391899" w14:paraId="033E4E56" w14:textId="77777777" w:rsidTr="00391899">
        <w:trPr>
          <w:trHeight w:val="279"/>
        </w:trPr>
        <w:tc>
          <w:tcPr>
            <w:tcW w:w="1988" w:type="dxa"/>
            <w:hideMark/>
          </w:tcPr>
          <w:p w14:paraId="6DA9AD85" w14:textId="77777777" w:rsidR="00391899" w:rsidRPr="00391899" w:rsidRDefault="00391899">
            <w:pPr>
              <w:rPr>
                <w:b/>
                <w:bCs/>
                <w:sz w:val="18"/>
                <w:szCs w:val="18"/>
              </w:rPr>
            </w:pPr>
            <w:r w:rsidRPr="00391899">
              <w:rPr>
                <w:b/>
                <w:bCs/>
                <w:sz w:val="18"/>
                <w:szCs w:val="18"/>
              </w:rPr>
              <w:t>Race</w:t>
            </w:r>
          </w:p>
        </w:tc>
        <w:tc>
          <w:tcPr>
            <w:tcW w:w="1605" w:type="dxa"/>
            <w:hideMark/>
          </w:tcPr>
          <w:p w14:paraId="2172B0BE" w14:textId="77777777" w:rsidR="00391899" w:rsidRPr="00391899" w:rsidRDefault="00391899" w:rsidP="00391899">
            <w:pPr>
              <w:rPr>
                <w:sz w:val="18"/>
                <w:szCs w:val="18"/>
              </w:rPr>
            </w:pPr>
            <w:r w:rsidRPr="00391899">
              <w:rPr>
                <w:sz w:val="18"/>
                <w:szCs w:val="18"/>
              </w:rPr>
              <w:t>33%</w:t>
            </w:r>
          </w:p>
        </w:tc>
        <w:tc>
          <w:tcPr>
            <w:tcW w:w="1635" w:type="dxa"/>
            <w:hideMark/>
          </w:tcPr>
          <w:p w14:paraId="47F33261" w14:textId="77777777" w:rsidR="00391899" w:rsidRPr="00391899" w:rsidRDefault="00391899" w:rsidP="00391899">
            <w:pPr>
              <w:rPr>
                <w:sz w:val="18"/>
                <w:szCs w:val="18"/>
              </w:rPr>
            </w:pPr>
            <w:r w:rsidRPr="00391899">
              <w:rPr>
                <w:sz w:val="18"/>
                <w:szCs w:val="18"/>
              </w:rPr>
              <w:t>35%</w:t>
            </w:r>
          </w:p>
        </w:tc>
        <w:tc>
          <w:tcPr>
            <w:tcW w:w="1559" w:type="dxa"/>
            <w:hideMark/>
          </w:tcPr>
          <w:p w14:paraId="57E08668" w14:textId="77777777" w:rsidR="00391899" w:rsidRPr="00391899" w:rsidRDefault="00391899" w:rsidP="00391899">
            <w:pPr>
              <w:rPr>
                <w:sz w:val="18"/>
                <w:szCs w:val="18"/>
              </w:rPr>
            </w:pPr>
            <w:r w:rsidRPr="00391899">
              <w:rPr>
                <w:sz w:val="18"/>
                <w:szCs w:val="18"/>
              </w:rPr>
              <w:t>21%</w:t>
            </w:r>
          </w:p>
        </w:tc>
        <w:tc>
          <w:tcPr>
            <w:tcW w:w="1605" w:type="dxa"/>
            <w:hideMark/>
          </w:tcPr>
          <w:p w14:paraId="5B913572" w14:textId="77777777" w:rsidR="00391899" w:rsidRPr="00391899" w:rsidRDefault="00391899" w:rsidP="00391899">
            <w:pPr>
              <w:rPr>
                <w:sz w:val="18"/>
                <w:szCs w:val="18"/>
              </w:rPr>
            </w:pPr>
            <w:r w:rsidRPr="00391899">
              <w:rPr>
                <w:sz w:val="18"/>
                <w:szCs w:val="18"/>
              </w:rPr>
              <w:t>9%</w:t>
            </w:r>
          </w:p>
        </w:tc>
        <w:tc>
          <w:tcPr>
            <w:tcW w:w="1605" w:type="dxa"/>
            <w:hideMark/>
          </w:tcPr>
          <w:p w14:paraId="6CBC454E" w14:textId="77777777" w:rsidR="00391899" w:rsidRPr="00391899" w:rsidRDefault="00391899" w:rsidP="00391899">
            <w:pPr>
              <w:rPr>
                <w:sz w:val="18"/>
                <w:szCs w:val="18"/>
              </w:rPr>
            </w:pPr>
            <w:r w:rsidRPr="00391899">
              <w:rPr>
                <w:sz w:val="18"/>
                <w:szCs w:val="18"/>
              </w:rPr>
              <w:t>2%</w:t>
            </w:r>
          </w:p>
        </w:tc>
      </w:tr>
      <w:tr w:rsidR="00391899" w:rsidRPr="00391899" w14:paraId="0C4C7D04" w14:textId="77777777" w:rsidTr="00391899">
        <w:trPr>
          <w:trHeight w:val="279"/>
        </w:trPr>
        <w:tc>
          <w:tcPr>
            <w:tcW w:w="1988" w:type="dxa"/>
            <w:hideMark/>
          </w:tcPr>
          <w:p w14:paraId="084FF198" w14:textId="77777777" w:rsidR="00391899" w:rsidRPr="00391899" w:rsidRDefault="00391899">
            <w:pPr>
              <w:rPr>
                <w:b/>
                <w:bCs/>
                <w:sz w:val="18"/>
                <w:szCs w:val="18"/>
              </w:rPr>
            </w:pPr>
            <w:r w:rsidRPr="00391899">
              <w:rPr>
                <w:b/>
                <w:bCs/>
                <w:sz w:val="18"/>
                <w:szCs w:val="18"/>
              </w:rPr>
              <w:t>Religion or belief</w:t>
            </w:r>
          </w:p>
        </w:tc>
        <w:tc>
          <w:tcPr>
            <w:tcW w:w="1605" w:type="dxa"/>
            <w:hideMark/>
          </w:tcPr>
          <w:p w14:paraId="7DF3F81C" w14:textId="77777777" w:rsidR="00391899" w:rsidRPr="00391899" w:rsidRDefault="00391899" w:rsidP="00391899">
            <w:pPr>
              <w:rPr>
                <w:sz w:val="18"/>
                <w:szCs w:val="18"/>
              </w:rPr>
            </w:pPr>
            <w:r w:rsidRPr="00391899">
              <w:rPr>
                <w:sz w:val="18"/>
                <w:szCs w:val="18"/>
              </w:rPr>
              <w:t>28%</w:t>
            </w:r>
          </w:p>
        </w:tc>
        <w:tc>
          <w:tcPr>
            <w:tcW w:w="1635" w:type="dxa"/>
            <w:hideMark/>
          </w:tcPr>
          <w:p w14:paraId="13823B3B" w14:textId="77777777" w:rsidR="00391899" w:rsidRPr="00391899" w:rsidRDefault="00391899" w:rsidP="00391899">
            <w:pPr>
              <w:rPr>
                <w:sz w:val="18"/>
                <w:szCs w:val="18"/>
              </w:rPr>
            </w:pPr>
            <w:r w:rsidRPr="00391899">
              <w:rPr>
                <w:sz w:val="18"/>
                <w:szCs w:val="18"/>
              </w:rPr>
              <w:t>33%</w:t>
            </w:r>
          </w:p>
        </w:tc>
        <w:tc>
          <w:tcPr>
            <w:tcW w:w="1559" w:type="dxa"/>
            <w:hideMark/>
          </w:tcPr>
          <w:p w14:paraId="062714BD" w14:textId="77777777" w:rsidR="00391899" w:rsidRPr="00391899" w:rsidRDefault="00391899" w:rsidP="00391899">
            <w:pPr>
              <w:rPr>
                <w:sz w:val="18"/>
                <w:szCs w:val="18"/>
              </w:rPr>
            </w:pPr>
            <w:r w:rsidRPr="00391899">
              <w:rPr>
                <w:sz w:val="18"/>
                <w:szCs w:val="18"/>
              </w:rPr>
              <w:t>29%</w:t>
            </w:r>
          </w:p>
        </w:tc>
        <w:tc>
          <w:tcPr>
            <w:tcW w:w="1605" w:type="dxa"/>
            <w:hideMark/>
          </w:tcPr>
          <w:p w14:paraId="24534305" w14:textId="77777777" w:rsidR="00391899" w:rsidRPr="00391899" w:rsidRDefault="00391899" w:rsidP="00391899">
            <w:pPr>
              <w:rPr>
                <w:sz w:val="18"/>
                <w:szCs w:val="18"/>
              </w:rPr>
            </w:pPr>
            <w:r w:rsidRPr="00391899">
              <w:rPr>
                <w:sz w:val="18"/>
                <w:szCs w:val="18"/>
              </w:rPr>
              <w:t>8%</w:t>
            </w:r>
          </w:p>
        </w:tc>
        <w:tc>
          <w:tcPr>
            <w:tcW w:w="1605" w:type="dxa"/>
            <w:hideMark/>
          </w:tcPr>
          <w:p w14:paraId="293EDEAD" w14:textId="77777777" w:rsidR="00391899" w:rsidRPr="00391899" w:rsidRDefault="00391899" w:rsidP="00391899">
            <w:pPr>
              <w:rPr>
                <w:sz w:val="18"/>
                <w:szCs w:val="18"/>
              </w:rPr>
            </w:pPr>
            <w:r w:rsidRPr="00391899">
              <w:rPr>
                <w:sz w:val="18"/>
                <w:szCs w:val="18"/>
              </w:rPr>
              <w:t>3%</w:t>
            </w:r>
          </w:p>
        </w:tc>
      </w:tr>
      <w:tr w:rsidR="00391899" w:rsidRPr="00391899" w14:paraId="5DA97571" w14:textId="77777777" w:rsidTr="00391899">
        <w:trPr>
          <w:trHeight w:val="279"/>
        </w:trPr>
        <w:tc>
          <w:tcPr>
            <w:tcW w:w="1988" w:type="dxa"/>
            <w:hideMark/>
          </w:tcPr>
          <w:p w14:paraId="6D64B181" w14:textId="77777777" w:rsidR="00391899" w:rsidRPr="00391899" w:rsidRDefault="00391899">
            <w:pPr>
              <w:rPr>
                <w:b/>
                <w:bCs/>
                <w:sz w:val="18"/>
                <w:szCs w:val="18"/>
              </w:rPr>
            </w:pPr>
            <w:r w:rsidRPr="00391899">
              <w:rPr>
                <w:b/>
                <w:bCs/>
                <w:sz w:val="18"/>
                <w:szCs w:val="18"/>
              </w:rPr>
              <w:t>Sex</w:t>
            </w:r>
          </w:p>
        </w:tc>
        <w:tc>
          <w:tcPr>
            <w:tcW w:w="1605" w:type="dxa"/>
            <w:hideMark/>
          </w:tcPr>
          <w:p w14:paraId="4AFAA4C3" w14:textId="77777777" w:rsidR="00391899" w:rsidRPr="00391899" w:rsidRDefault="00391899" w:rsidP="00391899">
            <w:pPr>
              <w:rPr>
                <w:sz w:val="18"/>
                <w:szCs w:val="18"/>
              </w:rPr>
            </w:pPr>
            <w:r w:rsidRPr="00391899">
              <w:rPr>
                <w:sz w:val="18"/>
                <w:szCs w:val="18"/>
              </w:rPr>
              <w:t>36%</w:t>
            </w:r>
          </w:p>
        </w:tc>
        <w:tc>
          <w:tcPr>
            <w:tcW w:w="1635" w:type="dxa"/>
            <w:hideMark/>
          </w:tcPr>
          <w:p w14:paraId="0C8FB345" w14:textId="77777777" w:rsidR="00391899" w:rsidRPr="00391899" w:rsidRDefault="00391899" w:rsidP="00391899">
            <w:pPr>
              <w:rPr>
                <w:sz w:val="18"/>
                <w:szCs w:val="18"/>
              </w:rPr>
            </w:pPr>
            <w:r w:rsidRPr="00391899">
              <w:rPr>
                <w:sz w:val="18"/>
                <w:szCs w:val="18"/>
              </w:rPr>
              <w:t>31%</w:t>
            </w:r>
          </w:p>
        </w:tc>
        <w:tc>
          <w:tcPr>
            <w:tcW w:w="1559" w:type="dxa"/>
            <w:hideMark/>
          </w:tcPr>
          <w:p w14:paraId="7FDD1D27" w14:textId="77777777" w:rsidR="00391899" w:rsidRPr="00391899" w:rsidRDefault="00391899" w:rsidP="00391899">
            <w:pPr>
              <w:rPr>
                <w:sz w:val="18"/>
                <w:szCs w:val="18"/>
              </w:rPr>
            </w:pPr>
            <w:r w:rsidRPr="00391899">
              <w:rPr>
                <w:sz w:val="18"/>
                <w:szCs w:val="18"/>
              </w:rPr>
              <w:t>29%</w:t>
            </w:r>
          </w:p>
        </w:tc>
        <w:tc>
          <w:tcPr>
            <w:tcW w:w="1605" w:type="dxa"/>
            <w:hideMark/>
          </w:tcPr>
          <w:p w14:paraId="60B45F1F" w14:textId="77777777" w:rsidR="00391899" w:rsidRPr="00391899" w:rsidRDefault="00391899" w:rsidP="00391899">
            <w:pPr>
              <w:rPr>
                <w:sz w:val="18"/>
                <w:szCs w:val="18"/>
              </w:rPr>
            </w:pPr>
            <w:r w:rsidRPr="00391899">
              <w:rPr>
                <w:sz w:val="18"/>
                <w:szCs w:val="18"/>
              </w:rPr>
              <w:t>4%</w:t>
            </w:r>
          </w:p>
        </w:tc>
        <w:tc>
          <w:tcPr>
            <w:tcW w:w="1605" w:type="dxa"/>
            <w:hideMark/>
          </w:tcPr>
          <w:p w14:paraId="02B20F24" w14:textId="77777777" w:rsidR="00391899" w:rsidRPr="00391899" w:rsidRDefault="00391899" w:rsidP="00391899">
            <w:pPr>
              <w:rPr>
                <w:sz w:val="18"/>
                <w:szCs w:val="18"/>
              </w:rPr>
            </w:pPr>
            <w:r w:rsidRPr="00391899">
              <w:rPr>
                <w:sz w:val="18"/>
                <w:szCs w:val="18"/>
              </w:rPr>
              <w:t>1%</w:t>
            </w:r>
          </w:p>
        </w:tc>
      </w:tr>
      <w:tr w:rsidR="00391899" w:rsidRPr="00B12E34" w14:paraId="391A02A5" w14:textId="77777777" w:rsidTr="00B12E34">
        <w:trPr>
          <w:trHeight w:val="279"/>
        </w:trPr>
        <w:tc>
          <w:tcPr>
            <w:tcW w:w="1988" w:type="dxa"/>
            <w:shd w:val="clear" w:color="auto" w:fill="FFFF00"/>
            <w:hideMark/>
          </w:tcPr>
          <w:p w14:paraId="490B5AC0" w14:textId="77777777" w:rsidR="00391899" w:rsidRPr="00B12E34" w:rsidRDefault="00391899">
            <w:pPr>
              <w:rPr>
                <w:b/>
                <w:bCs/>
                <w:sz w:val="18"/>
                <w:szCs w:val="18"/>
              </w:rPr>
            </w:pPr>
            <w:r w:rsidRPr="00B12E34">
              <w:rPr>
                <w:b/>
                <w:bCs/>
                <w:sz w:val="18"/>
                <w:szCs w:val="18"/>
              </w:rPr>
              <w:t>Sexual orientation</w:t>
            </w:r>
          </w:p>
        </w:tc>
        <w:tc>
          <w:tcPr>
            <w:tcW w:w="1605" w:type="dxa"/>
            <w:shd w:val="clear" w:color="auto" w:fill="FFFF00"/>
            <w:hideMark/>
          </w:tcPr>
          <w:p w14:paraId="53A55B67" w14:textId="77777777" w:rsidR="00391899" w:rsidRPr="00B12E34" w:rsidRDefault="00391899" w:rsidP="00391899">
            <w:pPr>
              <w:rPr>
                <w:sz w:val="18"/>
                <w:szCs w:val="18"/>
              </w:rPr>
            </w:pPr>
            <w:r w:rsidRPr="00B12E34">
              <w:rPr>
                <w:sz w:val="18"/>
                <w:szCs w:val="18"/>
              </w:rPr>
              <w:t>26%</w:t>
            </w:r>
          </w:p>
        </w:tc>
        <w:tc>
          <w:tcPr>
            <w:tcW w:w="1635" w:type="dxa"/>
            <w:shd w:val="clear" w:color="auto" w:fill="FFFF00"/>
            <w:hideMark/>
          </w:tcPr>
          <w:p w14:paraId="09B06E97" w14:textId="77777777" w:rsidR="00391899" w:rsidRPr="00B12E34" w:rsidRDefault="00391899" w:rsidP="00391899">
            <w:pPr>
              <w:rPr>
                <w:sz w:val="18"/>
                <w:szCs w:val="18"/>
              </w:rPr>
            </w:pPr>
            <w:r w:rsidRPr="00B12E34">
              <w:rPr>
                <w:sz w:val="18"/>
                <w:szCs w:val="18"/>
              </w:rPr>
              <w:t>29%</w:t>
            </w:r>
          </w:p>
        </w:tc>
        <w:tc>
          <w:tcPr>
            <w:tcW w:w="1559" w:type="dxa"/>
            <w:shd w:val="clear" w:color="auto" w:fill="FFFF00"/>
            <w:hideMark/>
          </w:tcPr>
          <w:p w14:paraId="508F471C" w14:textId="77777777" w:rsidR="00391899" w:rsidRPr="00B12E34" w:rsidRDefault="00391899" w:rsidP="00391899">
            <w:pPr>
              <w:rPr>
                <w:sz w:val="18"/>
                <w:szCs w:val="18"/>
              </w:rPr>
            </w:pPr>
            <w:r w:rsidRPr="00B12E34">
              <w:rPr>
                <w:sz w:val="18"/>
                <w:szCs w:val="18"/>
              </w:rPr>
              <w:t>37%</w:t>
            </w:r>
          </w:p>
        </w:tc>
        <w:tc>
          <w:tcPr>
            <w:tcW w:w="1605" w:type="dxa"/>
            <w:shd w:val="clear" w:color="auto" w:fill="FFFF00"/>
            <w:hideMark/>
          </w:tcPr>
          <w:p w14:paraId="23A7D61D" w14:textId="77777777" w:rsidR="00391899" w:rsidRPr="00B12E34" w:rsidRDefault="00391899" w:rsidP="00391899">
            <w:pPr>
              <w:rPr>
                <w:sz w:val="18"/>
                <w:szCs w:val="18"/>
              </w:rPr>
            </w:pPr>
            <w:r w:rsidRPr="00B12E34">
              <w:rPr>
                <w:sz w:val="18"/>
                <w:szCs w:val="18"/>
              </w:rPr>
              <w:t>7%</w:t>
            </w:r>
          </w:p>
        </w:tc>
        <w:tc>
          <w:tcPr>
            <w:tcW w:w="1605" w:type="dxa"/>
            <w:shd w:val="clear" w:color="auto" w:fill="FFFF00"/>
            <w:hideMark/>
          </w:tcPr>
          <w:p w14:paraId="78CDE14F" w14:textId="77777777" w:rsidR="00391899" w:rsidRPr="00B12E34" w:rsidRDefault="00391899" w:rsidP="00391899">
            <w:pPr>
              <w:rPr>
                <w:sz w:val="18"/>
                <w:szCs w:val="18"/>
              </w:rPr>
            </w:pPr>
            <w:r w:rsidRPr="00B12E34">
              <w:rPr>
                <w:sz w:val="18"/>
                <w:szCs w:val="18"/>
              </w:rPr>
              <w:t>2%</w:t>
            </w:r>
          </w:p>
        </w:tc>
      </w:tr>
      <w:tr w:rsidR="00391899" w:rsidRPr="00391899" w14:paraId="183E4DA5" w14:textId="77777777" w:rsidTr="00391899">
        <w:trPr>
          <w:trHeight w:val="279"/>
        </w:trPr>
        <w:tc>
          <w:tcPr>
            <w:tcW w:w="1988" w:type="dxa"/>
            <w:hideMark/>
          </w:tcPr>
          <w:p w14:paraId="35E44397" w14:textId="77777777" w:rsidR="00391899" w:rsidRPr="00391899" w:rsidRDefault="00391899">
            <w:pPr>
              <w:rPr>
                <w:b/>
                <w:bCs/>
                <w:sz w:val="18"/>
                <w:szCs w:val="18"/>
              </w:rPr>
            </w:pPr>
            <w:r w:rsidRPr="00391899">
              <w:rPr>
                <w:b/>
                <w:bCs/>
                <w:sz w:val="18"/>
                <w:szCs w:val="18"/>
              </w:rPr>
              <w:t>Rurality</w:t>
            </w:r>
          </w:p>
        </w:tc>
        <w:tc>
          <w:tcPr>
            <w:tcW w:w="1605" w:type="dxa"/>
            <w:hideMark/>
          </w:tcPr>
          <w:p w14:paraId="1101D4EB" w14:textId="77777777" w:rsidR="00391899" w:rsidRPr="00391899" w:rsidRDefault="00391899" w:rsidP="00391899">
            <w:pPr>
              <w:rPr>
                <w:sz w:val="18"/>
                <w:szCs w:val="18"/>
              </w:rPr>
            </w:pPr>
            <w:r w:rsidRPr="00391899">
              <w:rPr>
                <w:sz w:val="18"/>
                <w:szCs w:val="18"/>
              </w:rPr>
              <w:t>20%</w:t>
            </w:r>
          </w:p>
        </w:tc>
        <w:tc>
          <w:tcPr>
            <w:tcW w:w="1635" w:type="dxa"/>
            <w:hideMark/>
          </w:tcPr>
          <w:p w14:paraId="0E5205C7" w14:textId="77777777" w:rsidR="00391899" w:rsidRPr="00391899" w:rsidRDefault="00391899" w:rsidP="00391899">
            <w:pPr>
              <w:rPr>
                <w:sz w:val="18"/>
                <w:szCs w:val="18"/>
              </w:rPr>
            </w:pPr>
            <w:r w:rsidRPr="00391899">
              <w:rPr>
                <w:sz w:val="18"/>
                <w:szCs w:val="18"/>
              </w:rPr>
              <w:t>29%</w:t>
            </w:r>
          </w:p>
        </w:tc>
        <w:tc>
          <w:tcPr>
            <w:tcW w:w="1559" w:type="dxa"/>
            <w:hideMark/>
          </w:tcPr>
          <w:p w14:paraId="7BB464ED" w14:textId="77777777" w:rsidR="00391899" w:rsidRPr="00391899" w:rsidRDefault="00391899" w:rsidP="00391899">
            <w:pPr>
              <w:rPr>
                <w:sz w:val="18"/>
                <w:szCs w:val="18"/>
              </w:rPr>
            </w:pPr>
            <w:r w:rsidRPr="00391899">
              <w:rPr>
                <w:sz w:val="18"/>
                <w:szCs w:val="18"/>
              </w:rPr>
              <w:t>36%</w:t>
            </w:r>
          </w:p>
        </w:tc>
        <w:tc>
          <w:tcPr>
            <w:tcW w:w="1605" w:type="dxa"/>
            <w:hideMark/>
          </w:tcPr>
          <w:p w14:paraId="5290DCCB" w14:textId="77777777" w:rsidR="00391899" w:rsidRPr="00391899" w:rsidRDefault="00391899" w:rsidP="00391899">
            <w:pPr>
              <w:rPr>
                <w:sz w:val="18"/>
                <w:szCs w:val="18"/>
              </w:rPr>
            </w:pPr>
            <w:r w:rsidRPr="00391899">
              <w:rPr>
                <w:sz w:val="18"/>
                <w:szCs w:val="18"/>
              </w:rPr>
              <w:t>13%</w:t>
            </w:r>
          </w:p>
        </w:tc>
        <w:tc>
          <w:tcPr>
            <w:tcW w:w="1605" w:type="dxa"/>
            <w:hideMark/>
          </w:tcPr>
          <w:p w14:paraId="1A734BF6" w14:textId="77777777" w:rsidR="00391899" w:rsidRPr="00391899" w:rsidRDefault="00391899" w:rsidP="00391899">
            <w:pPr>
              <w:rPr>
                <w:sz w:val="18"/>
                <w:szCs w:val="18"/>
              </w:rPr>
            </w:pPr>
            <w:r w:rsidRPr="00391899">
              <w:rPr>
                <w:sz w:val="18"/>
                <w:szCs w:val="18"/>
              </w:rPr>
              <w:t>3%</w:t>
            </w:r>
          </w:p>
        </w:tc>
      </w:tr>
      <w:tr w:rsidR="00391899" w:rsidRPr="00391899" w14:paraId="6D1F289D" w14:textId="77777777" w:rsidTr="00391899">
        <w:trPr>
          <w:trHeight w:val="279"/>
        </w:trPr>
        <w:tc>
          <w:tcPr>
            <w:tcW w:w="1988" w:type="dxa"/>
            <w:hideMark/>
          </w:tcPr>
          <w:p w14:paraId="29357C99" w14:textId="77777777" w:rsidR="00391899" w:rsidRPr="00391899" w:rsidRDefault="00391899">
            <w:pPr>
              <w:rPr>
                <w:b/>
                <w:bCs/>
                <w:sz w:val="18"/>
                <w:szCs w:val="18"/>
              </w:rPr>
            </w:pPr>
            <w:r w:rsidRPr="00391899">
              <w:rPr>
                <w:b/>
                <w:bCs/>
                <w:sz w:val="18"/>
                <w:szCs w:val="18"/>
              </w:rPr>
              <w:t>Welsh language</w:t>
            </w:r>
          </w:p>
        </w:tc>
        <w:tc>
          <w:tcPr>
            <w:tcW w:w="1605" w:type="dxa"/>
            <w:hideMark/>
          </w:tcPr>
          <w:p w14:paraId="03F9C244" w14:textId="77777777" w:rsidR="00391899" w:rsidRPr="00391899" w:rsidRDefault="00391899" w:rsidP="00391899">
            <w:pPr>
              <w:rPr>
                <w:sz w:val="18"/>
                <w:szCs w:val="18"/>
              </w:rPr>
            </w:pPr>
            <w:r w:rsidRPr="00391899">
              <w:rPr>
                <w:sz w:val="18"/>
                <w:szCs w:val="18"/>
              </w:rPr>
              <w:t>11%</w:t>
            </w:r>
          </w:p>
        </w:tc>
        <w:tc>
          <w:tcPr>
            <w:tcW w:w="1635" w:type="dxa"/>
            <w:hideMark/>
          </w:tcPr>
          <w:p w14:paraId="1F9E6586" w14:textId="77777777" w:rsidR="00391899" w:rsidRPr="00391899" w:rsidRDefault="00391899" w:rsidP="00391899">
            <w:pPr>
              <w:rPr>
                <w:sz w:val="18"/>
                <w:szCs w:val="18"/>
              </w:rPr>
            </w:pPr>
            <w:r w:rsidRPr="00391899">
              <w:rPr>
                <w:sz w:val="18"/>
                <w:szCs w:val="18"/>
              </w:rPr>
              <w:t>18%</w:t>
            </w:r>
          </w:p>
        </w:tc>
        <w:tc>
          <w:tcPr>
            <w:tcW w:w="1559" w:type="dxa"/>
            <w:hideMark/>
          </w:tcPr>
          <w:p w14:paraId="1AA98FB6" w14:textId="77777777" w:rsidR="00391899" w:rsidRPr="00391899" w:rsidRDefault="00391899" w:rsidP="00391899">
            <w:pPr>
              <w:rPr>
                <w:sz w:val="18"/>
                <w:szCs w:val="18"/>
              </w:rPr>
            </w:pPr>
            <w:r w:rsidRPr="00391899">
              <w:rPr>
                <w:sz w:val="18"/>
                <w:szCs w:val="18"/>
              </w:rPr>
              <w:t>56%</w:t>
            </w:r>
          </w:p>
        </w:tc>
        <w:tc>
          <w:tcPr>
            <w:tcW w:w="1605" w:type="dxa"/>
            <w:hideMark/>
          </w:tcPr>
          <w:p w14:paraId="75FAFE46" w14:textId="77777777" w:rsidR="00391899" w:rsidRPr="00391899" w:rsidRDefault="00391899" w:rsidP="00391899">
            <w:pPr>
              <w:rPr>
                <w:sz w:val="18"/>
                <w:szCs w:val="18"/>
              </w:rPr>
            </w:pPr>
            <w:r w:rsidRPr="00391899">
              <w:rPr>
                <w:sz w:val="18"/>
                <w:szCs w:val="18"/>
              </w:rPr>
              <w:t>10%</w:t>
            </w:r>
          </w:p>
        </w:tc>
        <w:tc>
          <w:tcPr>
            <w:tcW w:w="1605" w:type="dxa"/>
            <w:hideMark/>
          </w:tcPr>
          <w:p w14:paraId="38F9B65F" w14:textId="77777777" w:rsidR="00391899" w:rsidRPr="00391899" w:rsidRDefault="00391899" w:rsidP="00391899">
            <w:pPr>
              <w:rPr>
                <w:sz w:val="18"/>
                <w:szCs w:val="18"/>
              </w:rPr>
            </w:pPr>
            <w:r w:rsidRPr="00391899">
              <w:rPr>
                <w:sz w:val="18"/>
                <w:szCs w:val="18"/>
              </w:rPr>
              <w:t>5%</w:t>
            </w:r>
          </w:p>
        </w:tc>
      </w:tr>
    </w:tbl>
    <w:p w14:paraId="6B537156" w14:textId="77777777" w:rsidR="00391899" w:rsidRDefault="00391899" w:rsidP="00391899"/>
    <w:p w14:paraId="041F4701" w14:textId="71281AFF" w:rsidR="00312124" w:rsidRDefault="00312124" w:rsidP="007B5BDC">
      <w:pPr>
        <w:pStyle w:val="ListParagraph"/>
        <w:numPr>
          <w:ilvl w:val="0"/>
          <w:numId w:val="7"/>
        </w:numPr>
        <w:spacing w:before="120" w:after="120"/>
        <w:contextualSpacing w:val="0"/>
      </w:pPr>
      <w:r w:rsidRPr="00312124">
        <w:t>Do you have any examples of when pharmacy services provided to patients and members of the public have not supported Inclusion and Diversity for the listed characteristics?</w:t>
      </w:r>
    </w:p>
    <w:p w14:paraId="7B90B013" w14:textId="5EFC15BF" w:rsidR="009859E1" w:rsidRDefault="00312124" w:rsidP="00C32D9F">
      <w:pPr>
        <w:spacing w:before="120" w:after="120" w:line="240" w:lineRule="auto"/>
        <w:ind w:left="360"/>
        <w:jc w:val="both"/>
      </w:pPr>
      <w:r>
        <w:t xml:space="preserve">105 responses </w:t>
      </w:r>
      <w:r w:rsidR="00C03C94">
        <w:t xml:space="preserve">were received </w:t>
      </w:r>
      <w:r>
        <w:t>to this</w:t>
      </w:r>
      <w:r w:rsidR="006552BF">
        <w:t xml:space="preserve"> qualitative</w:t>
      </w:r>
      <w:r>
        <w:t xml:space="preserve"> question</w:t>
      </w:r>
      <w:r w:rsidR="00C03C94">
        <w:t>;</w:t>
      </w:r>
      <w:r w:rsidR="009859E1">
        <w:t xml:space="preserve"> </w:t>
      </w:r>
      <w:r w:rsidR="00C03C94">
        <w:t>f</w:t>
      </w:r>
      <w:r>
        <w:t>rom these, 15 (14.3%) were related to LGBTQ+ access to and experiences with pharmacy services.</w:t>
      </w:r>
      <w:r w:rsidR="00C32D9F">
        <w:t xml:space="preserve"> R</w:t>
      </w:r>
      <w:r w:rsidR="009859E1">
        <w:t xml:space="preserve">espondents reported incidents of homophobia and transphobia resulting in individuals being made to feel uncomfortable in stores, making them feel as though pharmacies </w:t>
      </w:r>
      <w:r w:rsidR="003B12AB">
        <w:t xml:space="preserve">were </w:t>
      </w:r>
      <w:r w:rsidR="009859E1">
        <w:t xml:space="preserve">not a safe space where they </w:t>
      </w:r>
      <w:r w:rsidR="003B12AB">
        <w:t xml:space="preserve">could </w:t>
      </w:r>
      <w:r w:rsidR="009859E1">
        <w:t xml:space="preserve">reliably access healthcare services. This </w:t>
      </w:r>
      <w:r w:rsidR="00E74C2D">
        <w:t>may have</w:t>
      </w:r>
      <w:r w:rsidR="009859E1">
        <w:t xml:space="preserve"> been due to a lack of awareness or knowledge, resulting in pushback or further questioning</w:t>
      </w:r>
      <w:r w:rsidR="00E74C2D">
        <w:t>,</w:t>
      </w:r>
      <w:r w:rsidR="009859E1">
        <w:t xml:space="preserve"> which patients </w:t>
      </w:r>
      <w:r w:rsidR="00DF2178">
        <w:t xml:space="preserve">did </w:t>
      </w:r>
      <w:r w:rsidR="009859E1">
        <w:t xml:space="preserve">not expect. </w:t>
      </w:r>
      <w:r w:rsidR="006552BF">
        <w:t xml:space="preserve">Examples </w:t>
      </w:r>
      <w:r w:rsidR="00DF2178">
        <w:t>of quotes included</w:t>
      </w:r>
      <w:r w:rsidR="006552BF">
        <w:t>:</w:t>
      </w:r>
    </w:p>
    <w:p w14:paraId="70B6A589" w14:textId="77777777" w:rsidR="006552BF" w:rsidRDefault="009859E1" w:rsidP="00C32D9F">
      <w:pPr>
        <w:pStyle w:val="Quote"/>
        <w:numPr>
          <w:ilvl w:val="0"/>
          <w:numId w:val="13"/>
        </w:numPr>
        <w:ind w:left="720"/>
        <w:jc w:val="left"/>
        <w:rPr>
          <w:rStyle w:val="normaltextrun"/>
        </w:rPr>
      </w:pPr>
      <w:r>
        <w:rPr>
          <w:rStyle w:val="normaltextrun"/>
        </w:rPr>
        <w:t>“</w:t>
      </w:r>
      <w:r w:rsidR="006552BF" w:rsidRPr="006552BF">
        <w:rPr>
          <w:rStyle w:val="normaltextrun"/>
        </w:rPr>
        <w:t>Gender reassignment has never been discussed within pharmacy.</w:t>
      </w:r>
      <w:r w:rsidR="006552BF">
        <w:rPr>
          <w:rStyle w:val="normaltextrun"/>
        </w:rPr>
        <w:t xml:space="preserve"> </w:t>
      </w:r>
      <w:r w:rsidR="006552BF" w:rsidRPr="006552BF">
        <w:rPr>
          <w:rStyle w:val="normaltextrun"/>
        </w:rPr>
        <w:t xml:space="preserve">All patients’ records </w:t>
      </w:r>
      <w:proofErr w:type="gramStart"/>
      <w:r w:rsidR="006552BF" w:rsidRPr="006552BF">
        <w:rPr>
          <w:rStyle w:val="normaltextrun"/>
        </w:rPr>
        <w:t>have to</w:t>
      </w:r>
      <w:proofErr w:type="gramEnd"/>
      <w:r w:rsidR="006552BF" w:rsidRPr="006552BF">
        <w:rPr>
          <w:rStyle w:val="normaltextrun"/>
        </w:rPr>
        <w:t xml:space="preserve"> be characterised as male/female with no other options available. Little/no information or education is given on same sex relationships so no patient education can be given.</w:t>
      </w:r>
      <w:r w:rsidR="006552BF">
        <w:rPr>
          <w:rStyle w:val="normaltextrun"/>
        </w:rPr>
        <w:t>”</w:t>
      </w:r>
    </w:p>
    <w:p w14:paraId="061271F8" w14:textId="63974B47" w:rsidR="006552BF" w:rsidRDefault="006552BF" w:rsidP="00C32D9F">
      <w:pPr>
        <w:pStyle w:val="Quote"/>
        <w:numPr>
          <w:ilvl w:val="0"/>
          <w:numId w:val="13"/>
        </w:numPr>
        <w:ind w:left="720"/>
        <w:jc w:val="left"/>
      </w:pPr>
      <w:r>
        <w:lastRenderedPageBreak/>
        <w:t>“</w:t>
      </w:r>
      <w:r w:rsidRPr="006552BF">
        <w:t>It is very hard to find evidence-based recommendations on how to adjust medication for patients who are transgender</w:t>
      </w:r>
      <w:r>
        <w:t>.”</w:t>
      </w:r>
    </w:p>
    <w:p w14:paraId="09E321F0" w14:textId="77777777" w:rsidR="006552BF" w:rsidRDefault="006552BF" w:rsidP="00C32D9F">
      <w:pPr>
        <w:pStyle w:val="Quote"/>
        <w:numPr>
          <w:ilvl w:val="0"/>
          <w:numId w:val="13"/>
        </w:numPr>
        <w:ind w:left="720"/>
        <w:jc w:val="left"/>
      </w:pPr>
      <w:r>
        <w:t>“</w:t>
      </w:r>
      <w:r w:rsidRPr="006552BF">
        <w:t>I have heard from friends and colleagues where pharmacies have refused to give the morning after pill or to dispense HRT for trans patients.</w:t>
      </w:r>
      <w:r>
        <w:t>”</w:t>
      </w:r>
    </w:p>
    <w:p w14:paraId="4C999A11" w14:textId="4ABD297E" w:rsidR="006552BF" w:rsidRPr="006552BF" w:rsidRDefault="006552BF" w:rsidP="00C32D9F">
      <w:pPr>
        <w:pStyle w:val="Quote"/>
        <w:numPr>
          <w:ilvl w:val="0"/>
          <w:numId w:val="13"/>
        </w:numPr>
        <w:ind w:left="720"/>
        <w:jc w:val="left"/>
      </w:pPr>
      <w:r>
        <w:t>“</w:t>
      </w:r>
      <w:r w:rsidRPr="006552BF">
        <w:rPr>
          <w:rFonts w:eastAsia="Times New Roman" w:cs="Arial"/>
          <w:color w:val="000000"/>
          <w:szCs w:val="20"/>
          <w:lang w:eastAsia="en-GB"/>
        </w:rPr>
        <w:t>I work with gay and transgender patients; they have sometimes found community pharmacy to be a barrier to care. Not felt welcomed.</w:t>
      </w:r>
      <w:r>
        <w:rPr>
          <w:rFonts w:eastAsia="Times New Roman" w:cs="Arial"/>
          <w:color w:val="000000"/>
          <w:szCs w:val="20"/>
          <w:lang w:eastAsia="en-GB"/>
        </w:rPr>
        <w:t>”</w:t>
      </w:r>
    </w:p>
    <w:p w14:paraId="6D04B2D7" w14:textId="3C1AAE0B" w:rsidR="006552BF" w:rsidRPr="006552BF" w:rsidRDefault="006552BF" w:rsidP="00C32D9F">
      <w:pPr>
        <w:pStyle w:val="Quote"/>
        <w:numPr>
          <w:ilvl w:val="0"/>
          <w:numId w:val="13"/>
        </w:numPr>
        <w:ind w:left="720"/>
        <w:jc w:val="left"/>
      </w:pPr>
      <w:r>
        <w:t>“</w:t>
      </w:r>
      <w:r w:rsidRPr="006552BF">
        <w:t>No specific examples myself as I am based in academia, but I know from Stonewall that a significant proportion of the LGBTQ+ community don’t feel confident of using healthcare services without being judged.</w:t>
      </w:r>
    </w:p>
    <w:p w14:paraId="4B251FAB" w14:textId="6E4020BE" w:rsidR="006552BF" w:rsidRPr="006552BF" w:rsidRDefault="009859E1" w:rsidP="00C32D9F">
      <w:pPr>
        <w:pStyle w:val="Quote"/>
        <w:numPr>
          <w:ilvl w:val="0"/>
          <w:numId w:val="13"/>
        </w:numPr>
        <w:ind w:left="720"/>
        <w:jc w:val="left"/>
      </w:pPr>
      <w:r w:rsidRPr="00645170">
        <w:rPr>
          <w:rStyle w:val="normaltextrun"/>
        </w:rPr>
        <w:t>Not understanding EHC requirements for trans patients</w:t>
      </w:r>
      <w:r>
        <w:rPr>
          <w:rStyle w:val="normaltextrun"/>
        </w:rPr>
        <w:t>.”</w:t>
      </w:r>
    </w:p>
    <w:p w14:paraId="69CE822E" w14:textId="77777777" w:rsidR="004D6B35" w:rsidRDefault="004D6B35" w:rsidP="006552BF">
      <w:pPr>
        <w:rPr>
          <w:rFonts w:cs="Arial"/>
          <w:b/>
          <w:bCs/>
          <w:szCs w:val="20"/>
        </w:rPr>
      </w:pPr>
    </w:p>
    <w:p w14:paraId="2BDE7A3B" w14:textId="1D33BBE0" w:rsidR="00314035" w:rsidRPr="00A13514" w:rsidRDefault="00710EAA" w:rsidP="00314035">
      <w:pPr>
        <w:rPr>
          <w:rFonts w:cs="Arial"/>
          <w:b/>
          <w:bCs/>
          <w:szCs w:val="20"/>
        </w:rPr>
      </w:pPr>
      <w:r w:rsidRPr="007D2405">
        <w:rPr>
          <w:rFonts w:cs="Arial"/>
          <w:b/>
          <w:bCs/>
          <w:szCs w:val="20"/>
        </w:rPr>
        <w:t xml:space="preserve">Published evidence </w:t>
      </w:r>
      <w:r w:rsidR="007D2405" w:rsidRPr="007D2405">
        <w:rPr>
          <w:rFonts w:cs="Arial"/>
          <w:b/>
          <w:bCs/>
          <w:szCs w:val="20"/>
        </w:rPr>
        <w:t>with a pharmacy focus</w:t>
      </w:r>
      <w:r w:rsidR="00A13514">
        <w:rPr>
          <w:rFonts w:cs="Arial"/>
          <w:b/>
          <w:bCs/>
          <w:szCs w:val="20"/>
        </w:rPr>
        <w:t xml:space="preserve"> </w:t>
      </w:r>
      <w:r w:rsidR="00A13514" w:rsidRPr="00A13514">
        <w:rPr>
          <w:rFonts w:cs="Arial"/>
          <w:i/>
          <w:iCs/>
          <w:szCs w:val="20"/>
        </w:rPr>
        <w:t>(most to least recent)</w:t>
      </w:r>
    </w:p>
    <w:p w14:paraId="21F2317E" w14:textId="77777777" w:rsidR="00A13514" w:rsidRPr="00225B76" w:rsidRDefault="00A13514" w:rsidP="00A13514">
      <w:pPr>
        <w:rPr>
          <w:rFonts w:cs="Arial"/>
          <w:b/>
          <w:bCs/>
          <w:szCs w:val="20"/>
        </w:rPr>
      </w:pPr>
      <w:hyperlink r:id="rId7" w:history="1">
        <w:r w:rsidRPr="00225B76">
          <w:rPr>
            <w:rStyle w:val="Hyperlink"/>
            <w:rFonts w:cs="Arial"/>
            <w:b/>
            <w:bCs/>
            <w:szCs w:val="20"/>
          </w:rPr>
          <w:t xml:space="preserve">Qualitative exploration of the barriers and facilitators to community pharmacy </w:t>
        </w:r>
        <w:proofErr w:type="spellStart"/>
        <w:r w:rsidRPr="00225B76">
          <w:rPr>
            <w:rStyle w:val="Hyperlink"/>
            <w:rFonts w:cs="Arial"/>
            <w:b/>
            <w:bCs/>
            <w:szCs w:val="20"/>
          </w:rPr>
          <w:t>PrEP</w:t>
        </w:r>
        <w:proofErr w:type="spellEnd"/>
        <w:r w:rsidRPr="00225B76">
          <w:rPr>
            <w:rStyle w:val="Hyperlink"/>
            <w:rFonts w:cs="Arial"/>
            <w:b/>
            <w:bCs/>
            <w:szCs w:val="20"/>
          </w:rPr>
          <w:t xml:space="preserve"> delivery for UK pharmacists and underserved community members using the COM-B model of behaviour change</w:t>
        </w:r>
      </w:hyperlink>
      <w:r w:rsidRPr="00225B76">
        <w:rPr>
          <w:rFonts w:cs="Arial"/>
          <w:b/>
          <w:bCs/>
          <w:szCs w:val="20"/>
        </w:rPr>
        <w:t xml:space="preserve"> (Harrison, C., et al., 2024)</w:t>
      </w:r>
    </w:p>
    <w:p w14:paraId="63618204" w14:textId="77777777" w:rsidR="00A13514" w:rsidRDefault="00A13514" w:rsidP="00A13514">
      <w:pPr>
        <w:pStyle w:val="ListParagraph"/>
        <w:numPr>
          <w:ilvl w:val="0"/>
          <w:numId w:val="5"/>
        </w:numPr>
        <w:rPr>
          <w:rFonts w:cs="Arial"/>
          <w:szCs w:val="20"/>
        </w:rPr>
      </w:pPr>
      <w:r w:rsidRPr="0052764A">
        <w:rPr>
          <w:rFonts w:cs="Arial"/>
          <w:szCs w:val="20"/>
        </w:rPr>
        <w:t xml:space="preserve">Using the COM-B model for behaviour change, the aim of this research was to explore the barriers and facilitators of community pharmacy </w:t>
      </w:r>
      <w:proofErr w:type="spellStart"/>
      <w:r w:rsidRPr="0052764A">
        <w:rPr>
          <w:rFonts w:cs="Arial"/>
          <w:szCs w:val="20"/>
        </w:rPr>
        <w:t>PrEP</w:t>
      </w:r>
      <w:proofErr w:type="spellEnd"/>
      <w:r w:rsidRPr="0052764A">
        <w:rPr>
          <w:rFonts w:cs="Arial"/>
          <w:szCs w:val="20"/>
        </w:rPr>
        <w:t xml:space="preserve"> delivery, for pharmacists and community members.</w:t>
      </w:r>
    </w:p>
    <w:p w14:paraId="2EC5CC17" w14:textId="77777777" w:rsidR="00A13514" w:rsidRDefault="00A13514" w:rsidP="00A13514">
      <w:pPr>
        <w:pStyle w:val="ListParagraph"/>
        <w:numPr>
          <w:ilvl w:val="0"/>
          <w:numId w:val="5"/>
        </w:numPr>
        <w:rPr>
          <w:rFonts w:cs="Arial"/>
          <w:szCs w:val="20"/>
        </w:rPr>
      </w:pPr>
      <w:r>
        <w:rPr>
          <w:rFonts w:cs="Arial"/>
          <w:szCs w:val="20"/>
        </w:rPr>
        <w:t xml:space="preserve">Interviews were conducted with </w:t>
      </w:r>
      <w:r w:rsidRPr="0052764A">
        <w:rPr>
          <w:rFonts w:cs="Arial"/>
          <w:szCs w:val="20"/>
        </w:rPr>
        <w:t>17 pharmacists and 24 with community members</w:t>
      </w:r>
    </w:p>
    <w:p w14:paraId="753352C3" w14:textId="77777777" w:rsidR="00A13514" w:rsidRDefault="00A13514" w:rsidP="00A13514">
      <w:pPr>
        <w:pStyle w:val="ListParagraph"/>
        <w:numPr>
          <w:ilvl w:val="0"/>
          <w:numId w:val="5"/>
        </w:numPr>
        <w:rPr>
          <w:rFonts w:cs="Arial"/>
          <w:szCs w:val="20"/>
        </w:rPr>
      </w:pPr>
      <w:r w:rsidRPr="0052764A">
        <w:rPr>
          <w:rFonts w:cs="Arial"/>
          <w:szCs w:val="20"/>
        </w:rPr>
        <w:t xml:space="preserve">Capability </w:t>
      </w:r>
      <w:r w:rsidRPr="0052764A">
        <w:rPr>
          <w:rFonts w:cs="Arial"/>
          <w:b/>
          <w:bCs/>
          <w:szCs w:val="20"/>
        </w:rPr>
        <w:t>barriers</w:t>
      </w:r>
      <w:r w:rsidRPr="0052764A">
        <w:rPr>
          <w:rFonts w:cs="Arial"/>
          <w:szCs w:val="20"/>
        </w:rPr>
        <w:t xml:space="preserve"> included </w:t>
      </w:r>
    </w:p>
    <w:p w14:paraId="4CFAFCD3" w14:textId="77777777" w:rsidR="00A13514" w:rsidRDefault="00A13514" w:rsidP="00A13514">
      <w:pPr>
        <w:pStyle w:val="ListParagraph"/>
        <w:numPr>
          <w:ilvl w:val="1"/>
          <w:numId w:val="5"/>
        </w:numPr>
        <w:rPr>
          <w:rFonts w:cs="Arial"/>
          <w:szCs w:val="20"/>
        </w:rPr>
      </w:pPr>
      <w:r w:rsidRPr="0052764A">
        <w:rPr>
          <w:rFonts w:cs="Arial"/>
          <w:szCs w:val="20"/>
        </w:rPr>
        <w:t xml:space="preserve">suboptimal awareness and knowledge of </w:t>
      </w:r>
      <w:proofErr w:type="spellStart"/>
      <w:r w:rsidRPr="0052764A">
        <w:rPr>
          <w:rFonts w:cs="Arial"/>
          <w:szCs w:val="20"/>
        </w:rPr>
        <w:t>PrEP</w:t>
      </w:r>
      <w:proofErr w:type="spellEnd"/>
      <w:r w:rsidRPr="0052764A">
        <w:rPr>
          <w:rFonts w:cs="Arial"/>
          <w:szCs w:val="20"/>
        </w:rPr>
        <w:t xml:space="preserve">, </w:t>
      </w:r>
    </w:p>
    <w:p w14:paraId="53C1F967" w14:textId="77777777" w:rsidR="00A13514" w:rsidRDefault="00A13514" w:rsidP="00A13514">
      <w:pPr>
        <w:pStyle w:val="ListParagraph"/>
        <w:numPr>
          <w:ilvl w:val="1"/>
          <w:numId w:val="5"/>
        </w:numPr>
        <w:rPr>
          <w:rFonts w:cs="Arial"/>
          <w:szCs w:val="20"/>
        </w:rPr>
      </w:pPr>
      <w:r w:rsidRPr="0052764A">
        <w:rPr>
          <w:rFonts w:cs="Arial"/>
          <w:szCs w:val="20"/>
        </w:rPr>
        <w:t>pharmacy facilities</w:t>
      </w:r>
      <w:r>
        <w:rPr>
          <w:rFonts w:cs="Arial"/>
          <w:szCs w:val="20"/>
        </w:rPr>
        <w:t>,</w:t>
      </w:r>
    </w:p>
    <w:p w14:paraId="5389BA96" w14:textId="77777777" w:rsidR="00A13514" w:rsidRDefault="00A13514" w:rsidP="00A13514">
      <w:pPr>
        <w:pStyle w:val="ListParagraph"/>
        <w:numPr>
          <w:ilvl w:val="1"/>
          <w:numId w:val="5"/>
        </w:numPr>
        <w:rPr>
          <w:rFonts w:cs="Arial"/>
          <w:szCs w:val="20"/>
        </w:rPr>
      </w:pPr>
      <w:r w:rsidRPr="0052764A">
        <w:rPr>
          <w:rFonts w:cs="Arial"/>
          <w:szCs w:val="20"/>
        </w:rPr>
        <w:t>and pharmacist roles in delivering public health services.</w:t>
      </w:r>
    </w:p>
    <w:p w14:paraId="65C7E1FC" w14:textId="77777777" w:rsidR="00A13514" w:rsidRDefault="00A13514" w:rsidP="00A13514">
      <w:pPr>
        <w:pStyle w:val="ListParagraph"/>
        <w:numPr>
          <w:ilvl w:val="0"/>
          <w:numId w:val="5"/>
        </w:numPr>
        <w:rPr>
          <w:rFonts w:cs="Arial"/>
          <w:szCs w:val="20"/>
        </w:rPr>
      </w:pPr>
      <w:r w:rsidRPr="0052764A">
        <w:rPr>
          <w:rFonts w:cs="Arial"/>
          <w:szCs w:val="20"/>
        </w:rPr>
        <w:t xml:space="preserve">Opportunity </w:t>
      </w:r>
      <w:r w:rsidRPr="0052764A">
        <w:rPr>
          <w:rFonts w:cs="Arial"/>
          <w:b/>
          <w:bCs/>
          <w:szCs w:val="20"/>
        </w:rPr>
        <w:t>barriers</w:t>
      </w:r>
      <w:r w:rsidRPr="0052764A">
        <w:rPr>
          <w:rFonts w:cs="Arial"/>
          <w:szCs w:val="20"/>
        </w:rPr>
        <w:t xml:space="preserve"> included </w:t>
      </w:r>
    </w:p>
    <w:p w14:paraId="4035640D" w14:textId="77777777" w:rsidR="00A13514" w:rsidRDefault="00A13514" w:rsidP="00A13514">
      <w:pPr>
        <w:pStyle w:val="ListParagraph"/>
        <w:numPr>
          <w:ilvl w:val="1"/>
          <w:numId w:val="5"/>
        </w:numPr>
        <w:rPr>
          <w:rFonts w:cs="Arial"/>
          <w:szCs w:val="20"/>
        </w:rPr>
      </w:pPr>
      <w:r>
        <w:rPr>
          <w:rFonts w:cs="Arial"/>
          <w:szCs w:val="20"/>
        </w:rPr>
        <w:t>limited</w:t>
      </w:r>
      <w:r w:rsidRPr="0052764A">
        <w:rPr>
          <w:rFonts w:cs="Arial"/>
          <w:szCs w:val="20"/>
        </w:rPr>
        <w:t xml:space="preserve"> staff capacity, </w:t>
      </w:r>
    </w:p>
    <w:p w14:paraId="5B4C28F4" w14:textId="77777777" w:rsidR="00A13514" w:rsidRDefault="00A13514" w:rsidP="00A13514">
      <w:pPr>
        <w:pStyle w:val="ListParagraph"/>
        <w:numPr>
          <w:ilvl w:val="1"/>
          <w:numId w:val="5"/>
        </w:numPr>
        <w:rPr>
          <w:rFonts w:cs="Arial"/>
          <w:szCs w:val="20"/>
        </w:rPr>
      </w:pPr>
      <w:r w:rsidRPr="0052764A">
        <w:rPr>
          <w:rFonts w:cs="Arial"/>
          <w:szCs w:val="20"/>
        </w:rPr>
        <w:t xml:space="preserve">privacy and pharmacy screening and monitoring facilities. </w:t>
      </w:r>
    </w:p>
    <w:p w14:paraId="13CBF781" w14:textId="77777777" w:rsidR="00A13514" w:rsidRDefault="00A13514" w:rsidP="00A13514">
      <w:pPr>
        <w:pStyle w:val="ListParagraph"/>
        <w:numPr>
          <w:ilvl w:val="0"/>
          <w:numId w:val="5"/>
        </w:numPr>
        <w:rPr>
          <w:rFonts w:cs="Arial"/>
          <w:szCs w:val="20"/>
        </w:rPr>
      </w:pPr>
      <w:r w:rsidRPr="0052764A">
        <w:rPr>
          <w:rFonts w:cs="Arial"/>
          <w:szCs w:val="20"/>
        </w:rPr>
        <w:t xml:space="preserve">Motivational </w:t>
      </w:r>
      <w:r w:rsidRPr="0052764A">
        <w:rPr>
          <w:rFonts w:cs="Arial"/>
          <w:b/>
          <w:bCs/>
          <w:szCs w:val="20"/>
        </w:rPr>
        <w:t>barriers</w:t>
      </w:r>
      <w:r w:rsidRPr="0052764A">
        <w:rPr>
          <w:rFonts w:cs="Arial"/>
          <w:szCs w:val="20"/>
        </w:rPr>
        <w:t xml:space="preserve"> included </w:t>
      </w:r>
    </w:p>
    <w:p w14:paraId="12E2C1B2" w14:textId="77777777" w:rsidR="00A13514" w:rsidRDefault="00A13514" w:rsidP="00A13514">
      <w:pPr>
        <w:pStyle w:val="ListParagraph"/>
        <w:numPr>
          <w:ilvl w:val="1"/>
          <w:numId w:val="5"/>
        </w:numPr>
        <w:rPr>
          <w:rFonts w:cs="Arial"/>
          <w:szCs w:val="20"/>
        </w:rPr>
      </w:pPr>
      <w:r w:rsidRPr="0052764A">
        <w:rPr>
          <w:rFonts w:cs="Arial"/>
          <w:szCs w:val="20"/>
        </w:rPr>
        <w:t>concern that increased access could increase sexually transmitted infections</w:t>
      </w:r>
      <w:r>
        <w:rPr>
          <w:rFonts w:cs="Arial"/>
          <w:szCs w:val="20"/>
        </w:rPr>
        <w:t>,</w:t>
      </w:r>
    </w:p>
    <w:p w14:paraId="202D7520" w14:textId="77777777" w:rsidR="00A13514" w:rsidRPr="0052764A" w:rsidRDefault="00A13514" w:rsidP="00A13514">
      <w:pPr>
        <w:pStyle w:val="ListParagraph"/>
        <w:numPr>
          <w:ilvl w:val="1"/>
          <w:numId w:val="5"/>
        </w:numPr>
        <w:rPr>
          <w:rFonts w:cs="Arial"/>
          <w:szCs w:val="20"/>
        </w:rPr>
      </w:pPr>
      <w:r w:rsidRPr="0052764A">
        <w:rPr>
          <w:rFonts w:cs="Arial"/>
          <w:szCs w:val="20"/>
        </w:rPr>
        <w:t>financial cost</w:t>
      </w:r>
      <w:r>
        <w:rPr>
          <w:rFonts w:cs="Arial"/>
          <w:szCs w:val="20"/>
        </w:rPr>
        <w:t>a</w:t>
      </w:r>
      <w:r w:rsidRPr="0052764A">
        <w:rPr>
          <w:rFonts w:cs="Arial"/>
          <w:szCs w:val="20"/>
        </w:rPr>
        <w:t xml:space="preserve">. </w:t>
      </w:r>
    </w:p>
    <w:p w14:paraId="0AF30D97" w14:textId="77777777" w:rsidR="00A13514" w:rsidRDefault="00A13514" w:rsidP="00A13514">
      <w:pPr>
        <w:pStyle w:val="ListParagraph"/>
        <w:numPr>
          <w:ilvl w:val="0"/>
          <w:numId w:val="5"/>
        </w:numPr>
        <w:rPr>
          <w:rFonts w:cs="Arial"/>
          <w:szCs w:val="20"/>
        </w:rPr>
      </w:pPr>
      <w:r w:rsidRPr="0052764A">
        <w:rPr>
          <w:rFonts w:cs="Arial"/>
          <w:szCs w:val="20"/>
        </w:rPr>
        <w:t xml:space="preserve">Capability </w:t>
      </w:r>
      <w:r w:rsidRPr="0052764A">
        <w:rPr>
          <w:rFonts w:cs="Arial"/>
          <w:b/>
          <w:bCs/>
          <w:szCs w:val="20"/>
        </w:rPr>
        <w:t>facilitators</w:t>
      </w:r>
      <w:r w:rsidRPr="0052764A">
        <w:rPr>
          <w:rFonts w:cs="Arial"/>
          <w:szCs w:val="20"/>
        </w:rPr>
        <w:t xml:space="preserve"> included</w:t>
      </w:r>
    </w:p>
    <w:p w14:paraId="295D1FD7" w14:textId="77777777" w:rsidR="00A13514" w:rsidRDefault="00A13514" w:rsidP="00A13514">
      <w:pPr>
        <w:pStyle w:val="ListParagraph"/>
        <w:numPr>
          <w:ilvl w:val="1"/>
          <w:numId w:val="5"/>
        </w:numPr>
        <w:rPr>
          <w:rFonts w:cs="Arial"/>
          <w:szCs w:val="20"/>
        </w:rPr>
      </w:pPr>
      <w:r w:rsidRPr="0052764A">
        <w:rPr>
          <w:rFonts w:cs="Arial"/>
          <w:szCs w:val="20"/>
        </w:rPr>
        <w:t xml:space="preserve">awareness raising, </w:t>
      </w:r>
    </w:p>
    <w:p w14:paraId="749B479B" w14:textId="77777777" w:rsidR="00A13514" w:rsidRDefault="00A13514" w:rsidP="00A13514">
      <w:pPr>
        <w:pStyle w:val="ListParagraph"/>
        <w:numPr>
          <w:ilvl w:val="1"/>
          <w:numId w:val="5"/>
        </w:numPr>
        <w:rPr>
          <w:rFonts w:cs="Arial"/>
          <w:szCs w:val="20"/>
        </w:rPr>
      </w:pPr>
      <w:r w:rsidRPr="0052764A">
        <w:rPr>
          <w:rFonts w:cs="Arial"/>
          <w:szCs w:val="20"/>
        </w:rPr>
        <w:t xml:space="preserve">HIV and </w:t>
      </w:r>
      <w:proofErr w:type="spellStart"/>
      <w:r w:rsidRPr="0052764A">
        <w:rPr>
          <w:rFonts w:cs="Arial"/>
          <w:szCs w:val="20"/>
        </w:rPr>
        <w:t>PrEP</w:t>
      </w:r>
      <w:proofErr w:type="spellEnd"/>
      <w:r w:rsidRPr="0052764A">
        <w:rPr>
          <w:rFonts w:cs="Arial"/>
          <w:szCs w:val="20"/>
        </w:rPr>
        <w:t xml:space="preserve"> training and education. </w:t>
      </w:r>
    </w:p>
    <w:p w14:paraId="0416F09C" w14:textId="77777777" w:rsidR="00A13514" w:rsidRDefault="00A13514" w:rsidP="00A13514">
      <w:pPr>
        <w:pStyle w:val="ListParagraph"/>
        <w:numPr>
          <w:ilvl w:val="0"/>
          <w:numId w:val="5"/>
        </w:numPr>
        <w:rPr>
          <w:rFonts w:cs="Arial"/>
          <w:szCs w:val="20"/>
        </w:rPr>
      </w:pPr>
      <w:r w:rsidRPr="0052764A">
        <w:rPr>
          <w:rFonts w:cs="Arial"/>
          <w:szCs w:val="20"/>
        </w:rPr>
        <w:t xml:space="preserve">Opportunity </w:t>
      </w:r>
      <w:r w:rsidRPr="0052764A">
        <w:rPr>
          <w:rFonts w:cs="Arial"/>
          <w:b/>
          <w:bCs/>
          <w:szCs w:val="20"/>
        </w:rPr>
        <w:t>facilitators</w:t>
      </w:r>
      <w:r w:rsidRPr="0052764A">
        <w:rPr>
          <w:rFonts w:cs="Arial"/>
          <w:szCs w:val="20"/>
        </w:rPr>
        <w:t xml:space="preserve"> included </w:t>
      </w:r>
    </w:p>
    <w:p w14:paraId="7F194857" w14:textId="77777777" w:rsidR="00A13514" w:rsidRDefault="00A13514" w:rsidP="00A13514">
      <w:pPr>
        <w:pStyle w:val="ListParagraph"/>
        <w:numPr>
          <w:ilvl w:val="1"/>
          <w:numId w:val="5"/>
        </w:numPr>
        <w:rPr>
          <w:rFonts w:cs="Arial"/>
          <w:szCs w:val="20"/>
        </w:rPr>
      </w:pPr>
      <w:proofErr w:type="spellStart"/>
      <w:r w:rsidRPr="0052764A">
        <w:rPr>
          <w:rFonts w:cs="Arial"/>
          <w:szCs w:val="20"/>
        </w:rPr>
        <w:t>PrEP</w:t>
      </w:r>
      <w:proofErr w:type="spellEnd"/>
      <w:r w:rsidRPr="0052764A">
        <w:rPr>
          <w:rFonts w:cs="Arial"/>
          <w:szCs w:val="20"/>
        </w:rPr>
        <w:t xml:space="preserve"> appointments </w:t>
      </w:r>
      <w:r>
        <w:rPr>
          <w:rFonts w:cs="Arial"/>
          <w:szCs w:val="20"/>
        </w:rPr>
        <w:t xml:space="preserve">and </w:t>
      </w:r>
      <w:r w:rsidRPr="0052764A">
        <w:rPr>
          <w:rFonts w:cs="Arial"/>
          <w:szCs w:val="20"/>
        </w:rPr>
        <w:t xml:space="preserve">accessibility of pharmacies. </w:t>
      </w:r>
    </w:p>
    <w:p w14:paraId="07F9303D" w14:textId="77777777" w:rsidR="00A13514" w:rsidRDefault="00A13514" w:rsidP="00A13514">
      <w:pPr>
        <w:pStyle w:val="ListParagraph"/>
        <w:numPr>
          <w:ilvl w:val="0"/>
          <w:numId w:val="5"/>
        </w:numPr>
        <w:rPr>
          <w:rFonts w:cs="Arial"/>
          <w:szCs w:val="20"/>
        </w:rPr>
      </w:pPr>
      <w:r w:rsidRPr="0052764A">
        <w:rPr>
          <w:rFonts w:cs="Arial"/>
          <w:szCs w:val="20"/>
        </w:rPr>
        <w:t xml:space="preserve">Motivational </w:t>
      </w:r>
      <w:r w:rsidRPr="0052764A">
        <w:rPr>
          <w:rFonts w:cs="Arial"/>
          <w:b/>
          <w:bCs/>
          <w:szCs w:val="20"/>
        </w:rPr>
        <w:t>facilitators</w:t>
      </w:r>
      <w:r w:rsidRPr="0052764A">
        <w:rPr>
          <w:rFonts w:cs="Arial"/>
          <w:szCs w:val="20"/>
        </w:rPr>
        <w:t xml:space="preserve"> included</w:t>
      </w:r>
    </w:p>
    <w:p w14:paraId="7DBC46BC" w14:textId="77777777" w:rsidR="00A13514" w:rsidRDefault="00A13514" w:rsidP="00A13514">
      <w:pPr>
        <w:pStyle w:val="ListParagraph"/>
        <w:numPr>
          <w:ilvl w:val="1"/>
          <w:numId w:val="5"/>
        </w:numPr>
        <w:rPr>
          <w:rFonts w:cs="Arial"/>
          <w:szCs w:val="20"/>
        </w:rPr>
      </w:pPr>
      <w:r w:rsidRPr="0052764A">
        <w:rPr>
          <w:rFonts w:cs="Arial"/>
          <w:szCs w:val="20"/>
        </w:rPr>
        <w:t>preference for pharmacy delivery over other models (</w:t>
      </w:r>
      <w:proofErr w:type="spellStart"/>
      <w:r w:rsidRPr="0052764A">
        <w:rPr>
          <w:rFonts w:cs="Arial"/>
          <w:szCs w:val="20"/>
        </w:rPr>
        <w:t>eg</w:t>
      </w:r>
      <w:proofErr w:type="spellEnd"/>
      <w:r w:rsidRPr="0052764A">
        <w:rPr>
          <w:rFonts w:cs="Arial"/>
          <w:szCs w:val="20"/>
        </w:rPr>
        <w:t xml:space="preserve">, sexual health, General Practitioner (GP)), </w:t>
      </w:r>
    </w:p>
    <w:p w14:paraId="3AF28B70" w14:textId="77777777" w:rsidR="00A13514" w:rsidRDefault="00A13514" w:rsidP="00A13514">
      <w:pPr>
        <w:pStyle w:val="ListParagraph"/>
        <w:numPr>
          <w:ilvl w:val="1"/>
          <w:numId w:val="5"/>
        </w:numPr>
        <w:rPr>
          <w:rFonts w:cs="Arial"/>
          <w:szCs w:val="20"/>
        </w:rPr>
      </w:pPr>
      <w:r w:rsidRPr="0052764A">
        <w:rPr>
          <w:rFonts w:cs="Arial"/>
          <w:szCs w:val="20"/>
        </w:rPr>
        <w:t>a belief that it would be discrete and less stigmatising.</w:t>
      </w:r>
    </w:p>
    <w:p w14:paraId="250AFD11" w14:textId="4C9D3694" w:rsidR="002D18CD" w:rsidRPr="002D18CD" w:rsidRDefault="002D18CD" w:rsidP="002D18CD">
      <w:pPr>
        <w:rPr>
          <w:rFonts w:cs="Arial"/>
          <w:szCs w:val="20"/>
        </w:rPr>
      </w:pPr>
      <w:r w:rsidRPr="002D18CD">
        <w:rPr>
          <w:rFonts w:cs="Arial"/>
          <w:szCs w:val="20"/>
        </w:rPr>
        <w:t xml:space="preserve">Pharmacy </w:t>
      </w:r>
      <w:proofErr w:type="spellStart"/>
      <w:r w:rsidRPr="002D18CD">
        <w:rPr>
          <w:rFonts w:cs="Arial"/>
          <w:szCs w:val="20"/>
        </w:rPr>
        <w:t>PrEP</w:t>
      </w:r>
      <w:proofErr w:type="spellEnd"/>
      <w:r w:rsidRPr="002D18CD">
        <w:rPr>
          <w:rFonts w:cs="Arial"/>
          <w:szCs w:val="20"/>
        </w:rPr>
        <w:t xml:space="preserve"> delivery is acceptable but for it to be feasible, results point to the need for the development of a behaviour change intervention focusing on education, training and awareness raising, targeting pharmacists and community members to stimulate patient activation and de-stigmatise HIV. This intervention would need to be facilitated by system and environmental changes (</w:t>
      </w:r>
      <w:proofErr w:type="spellStart"/>
      <w:r w:rsidRPr="002D18CD">
        <w:rPr>
          <w:rFonts w:cs="Arial"/>
          <w:szCs w:val="20"/>
        </w:rPr>
        <w:t>eg</w:t>
      </w:r>
      <w:proofErr w:type="spellEnd"/>
      <w:r w:rsidRPr="002D18CD">
        <w:rPr>
          <w:rFonts w:cs="Arial"/>
          <w:szCs w:val="20"/>
        </w:rPr>
        <w:t>, commissioning service).</w:t>
      </w:r>
    </w:p>
    <w:p w14:paraId="0678D3EA" w14:textId="77777777" w:rsidR="00314035" w:rsidRPr="00225B76" w:rsidRDefault="00314035" w:rsidP="00314035">
      <w:pPr>
        <w:rPr>
          <w:rFonts w:cs="Arial"/>
          <w:b/>
          <w:bCs/>
          <w:szCs w:val="20"/>
        </w:rPr>
      </w:pPr>
      <w:hyperlink r:id="rId8" w:history="1">
        <w:r w:rsidRPr="00225B76">
          <w:rPr>
            <w:rStyle w:val="Hyperlink"/>
            <w:rFonts w:cs="Arial"/>
            <w:b/>
            <w:bCs/>
            <w:szCs w:val="20"/>
          </w:rPr>
          <w:t xml:space="preserve">Facilitators and barriers to community pharmacy </w:t>
        </w:r>
        <w:proofErr w:type="spellStart"/>
        <w:r w:rsidRPr="00225B76">
          <w:rPr>
            <w:rStyle w:val="Hyperlink"/>
            <w:rFonts w:cs="Arial"/>
            <w:b/>
            <w:bCs/>
            <w:szCs w:val="20"/>
          </w:rPr>
          <w:t>PrEP</w:t>
        </w:r>
        <w:proofErr w:type="spellEnd"/>
        <w:r w:rsidRPr="00225B76">
          <w:rPr>
            <w:rStyle w:val="Hyperlink"/>
            <w:rFonts w:cs="Arial"/>
            <w:b/>
            <w:bCs/>
            <w:szCs w:val="20"/>
          </w:rPr>
          <w:t xml:space="preserve"> delivery: a scoping</w:t>
        </w:r>
      </w:hyperlink>
      <w:r w:rsidRPr="00225B76">
        <w:rPr>
          <w:rFonts w:cs="Arial"/>
          <w:b/>
          <w:bCs/>
          <w:szCs w:val="20"/>
        </w:rPr>
        <w:t xml:space="preserve"> review (Harrison, C., et al., 2024)</w:t>
      </w:r>
    </w:p>
    <w:p w14:paraId="64666B55" w14:textId="0A60EAEA" w:rsidR="00314035" w:rsidRDefault="00314035" w:rsidP="00314035">
      <w:pPr>
        <w:pStyle w:val="ListParagraph"/>
        <w:numPr>
          <w:ilvl w:val="0"/>
          <w:numId w:val="5"/>
        </w:numPr>
        <w:rPr>
          <w:rFonts w:cs="Arial"/>
          <w:szCs w:val="20"/>
        </w:rPr>
      </w:pPr>
      <w:r>
        <w:rPr>
          <w:rFonts w:cs="Arial"/>
          <w:szCs w:val="20"/>
        </w:rPr>
        <w:t xml:space="preserve">Aimed to </w:t>
      </w:r>
      <w:r w:rsidRPr="00951546">
        <w:rPr>
          <w:rFonts w:cs="Arial"/>
          <w:szCs w:val="20"/>
        </w:rPr>
        <w:t xml:space="preserve">describe the existing evidence about the barriers and facilitators of community pharmacy oral </w:t>
      </w:r>
      <w:r w:rsidR="00540FD3">
        <w:rPr>
          <w:rFonts w:cs="Arial"/>
          <w:szCs w:val="20"/>
        </w:rPr>
        <w:t>p</w:t>
      </w:r>
      <w:r w:rsidR="00540FD3" w:rsidRPr="00540FD3">
        <w:rPr>
          <w:rFonts w:cs="Arial"/>
          <w:szCs w:val="20"/>
        </w:rPr>
        <w:t xml:space="preserve">re-exposure prophylaxis </w:t>
      </w:r>
      <w:r w:rsidR="00540FD3">
        <w:rPr>
          <w:rFonts w:cs="Arial"/>
          <w:szCs w:val="20"/>
        </w:rPr>
        <w:t>(</w:t>
      </w:r>
      <w:proofErr w:type="spellStart"/>
      <w:r w:rsidRPr="00951546">
        <w:rPr>
          <w:rFonts w:cs="Arial"/>
          <w:szCs w:val="20"/>
        </w:rPr>
        <w:t>PrEP</w:t>
      </w:r>
      <w:proofErr w:type="spellEnd"/>
      <w:r w:rsidR="00540FD3">
        <w:rPr>
          <w:rFonts w:cs="Arial"/>
          <w:szCs w:val="20"/>
        </w:rPr>
        <w:t>)</w:t>
      </w:r>
      <w:r w:rsidRPr="00951546">
        <w:rPr>
          <w:rFonts w:cs="Arial"/>
          <w:szCs w:val="20"/>
        </w:rPr>
        <w:t xml:space="preserve"> delivery, for pharmacists and pharmacy clients</w:t>
      </w:r>
      <w:r>
        <w:rPr>
          <w:rFonts w:cs="Arial"/>
          <w:szCs w:val="20"/>
        </w:rPr>
        <w:t xml:space="preserve">. </w:t>
      </w:r>
      <w:r>
        <w:rPr>
          <w:rFonts w:cs="Arial"/>
          <w:szCs w:val="20"/>
        </w:rPr>
        <w:lastRenderedPageBreak/>
        <w:t xml:space="preserve">Reporting of barriers and facilitators followed the </w:t>
      </w:r>
      <w:r w:rsidRPr="0052764A">
        <w:rPr>
          <w:rFonts w:cs="Arial"/>
          <w:szCs w:val="20"/>
        </w:rPr>
        <w:t xml:space="preserve">Capability, Opportunity, Motivation, Behaviour </w:t>
      </w:r>
      <w:r>
        <w:rPr>
          <w:rFonts w:cs="Arial"/>
          <w:szCs w:val="20"/>
        </w:rPr>
        <w:t xml:space="preserve">(COM-B) model. </w:t>
      </w:r>
    </w:p>
    <w:p w14:paraId="483085FA" w14:textId="77777777" w:rsidR="00314035" w:rsidRDefault="00314035" w:rsidP="00314035">
      <w:pPr>
        <w:pStyle w:val="ListParagraph"/>
        <w:numPr>
          <w:ilvl w:val="0"/>
          <w:numId w:val="5"/>
        </w:numPr>
        <w:rPr>
          <w:rFonts w:cs="Arial"/>
          <w:szCs w:val="20"/>
        </w:rPr>
      </w:pPr>
      <w:r w:rsidRPr="00951546">
        <w:rPr>
          <w:rFonts w:cs="Arial"/>
          <w:szCs w:val="20"/>
        </w:rPr>
        <w:t>A total of 649 records were identified and 56 met the inclusion criteria</w:t>
      </w:r>
      <w:r>
        <w:rPr>
          <w:rFonts w:cs="Arial"/>
          <w:szCs w:val="20"/>
        </w:rPr>
        <w:t xml:space="preserve">. </w:t>
      </w:r>
    </w:p>
    <w:p w14:paraId="0890A975" w14:textId="77777777" w:rsidR="00314035" w:rsidRDefault="00314035" w:rsidP="00314035">
      <w:pPr>
        <w:pStyle w:val="ListParagraph"/>
        <w:numPr>
          <w:ilvl w:val="0"/>
          <w:numId w:val="5"/>
        </w:numPr>
        <w:rPr>
          <w:rFonts w:cs="Arial"/>
          <w:szCs w:val="20"/>
        </w:rPr>
      </w:pPr>
      <w:r>
        <w:rPr>
          <w:rFonts w:cs="Arial"/>
          <w:szCs w:val="20"/>
        </w:rPr>
        <w:t>Key b</w:t>
      </w:r>
      <w:r w:rsidRPr="00951546">
        <w:rPr>
          <w:rFonts w:cs="Arial"/>
          <w:szCs w:val="20"/>
        </w:rPr>
        <w:t xml:space="preserve">arriers to </w:t>
      </w:r>
      <w:proofErr w:type="spellStart"/>
      <w:r w:rsidRPr="00951546">
        <w:rPr>
          <w:rFonts w:cs="Arial"/>
          <w:szCs w:val="20"/>
        </w:rPr>
        <w:t>PrEP</w:t>
      </w:r>
      <w:proofErr w:type="spellEnd"/>
      <w:r w:rsidRPr="00951546">
        <w:rPr>
          <w:rFonts w:cs="Arial"/>
          <w:szCs w:val="20"/>
        </w:rPr>
        <w:t xml:space="preserve"> delivery for </w:t>
      </w:r>
      <w:r w:rsidRPr="003F6D83">
        <w:rPr>
          <w:rFonts w:cs="Arial"/>
          <w:b/>
          <w:bCs/>
          <w:szCs w:val="20"/>
          <w:u w:val="single"/>
        </w:rPr>
        <w:t>pharmacists</w:t>
      </w:r>
      <w:r w:rsidRPr="00951546">
        <w:rPr>
          <w:rFonts w:cs="Arial"/>
          <w:szCs w:val="20"/>
        </w:rPr>
        <w:t xml:space="preserve"> included</w:t>
      </w:r>
      <w:r>
        <w:rPr>
          <w:rFonts w:cs="Arial"/>
          <w:szCs w:val="20"/>
        </w:rPr>
        <w:t>:</w:t>
      </w:r>
    </w:p>
    <w:p w14:paraId="30C1949E" w14:textId="77777777" w:rsidR="00314035" w:rsidRDefault="00314035" w:rsidP="00314035">
      <w:pPr>
        <w:pStyle w:val="ListParagraph"/>
        <w:numPr>
          <w:ilvl w:val="1"/>
          <w:numId w:val="5"/>
        </w:numPr>
        <w:rPr>
          <w:rFonts w:cs="Arial"/>
          <w:szCs w:val="20"/>
        </w:rPr>
      </w:pPr>
      <w:r w:rsidRPr="00951546">
        <w:rPr>
          <w:rFonts w:cs="Arial"/>
          <w:szCs w:val="20"/>
        </w:rPr>
        <w:t xml:space="preserve">lack of knowledge, training and skills (capability), </w:t>
      </w:r>
    </w:p>
    <w:p w14:paraId="0D6F4433" w14:textId="77777777" w:rsidR="00314035" w:rsidRDefault="00314035" w:rsidP="00314035">
      <w:pPr>
        <w:pStyle w:val="ListParagraph"/>
        <w:numPr>
          <w:ilvl w:val="2"/>
          <w:numId w:val="5"/>
        </w:numPr>
        <w:rPr>
          <w:rFonts w:cs="Arial"/>
          <w:szCs w:val="20"/>
        </w:rPr>
      </w:pPr>
      <w:r>
        <w:rPr>
          <w:rFonts w:cs="Arial"/>
          <w:szCs w:val="20"/>
        </w:rPr>
        <w:t xml:space="preserve">Includes lack of knowledge of current legislation on the authorisation of </w:t>
      </w:r>
      <w:proofErr w:type="spellStart"/>
      <w:r>
        <w:rPr>
          <w:rFonts w:cs="Arial"/>
          <w:szCs w:val="20"/>
        </w:rPr>
        <w:t>PrEP</w:t>
      </w:r>
      <w:proofErr w:type="spellEnd"/>
      <w:r>
        <w:rPr>
          <w:rFonts w:cs="Arial"/>
          <w:szCs w:val="20"/>
        </w:rPr>
        <w:t xml:space="preserve"> provision in pharmacies (primarily in America)</w:t>
      </w:r>
    </w:p>
    <w:p w14:paraId="009800FE" w14:textId="77777777" w:rsidR="00314035" w:rsidRDefault="00314035" w:rsidP="00314035">
      <w:pPr>
        <w:pStyle w:val="ListParagraph"/>
        <w:numPr>
          <w:ilvl w:val="1"/>
          <w:numId w:val="5"/>
        </w:numPr>
        <w:rPr>
          <w:rFonts w:cs="Arial"/>
          <w:szCs w:val="20"/>
        </w:rPr>
      </w:pPr>
      <w:r w:rsidRPr="00951546">
        <w:rPr>
          <w:rFonts w:cs="Arial"/>
          <w:szCs w:val="20"/>
        </w:rPr>
        <w:t xml:space="preserve">not having the necessary facilities (opportunity), </w:t>
      </w:r>
    </w:p>
    <w:p w14:paraId="626AC70B" w14:textId="77777777" w:rsidR="00314035" w:rsidRDefault="00314035" w:rsidP="00314035">
      <w:pPr>
        <w:pStyle w:val="ListParagraph"/>
        <w:numPr>
          <w:ilvl w:val="2"/>
          <w:numId w:val="5"/>
        </w:numPr>
        <w:rPr>
          <w:rFonts w:cs="Arial"/>
          <w:szCs w:val="20"/>
        </w:rPr>
      </w:pPr>
      <w:r>
        <w:rPr>
          <w:rFonts w:cs="Arial"/>
          <w:szCs w:val="20"/>
        </w:rPr>
        <w:t xml:space="preserve">Lack of staff time, </w:t>
      </w:r>
      <w:r w:rsidRPr="003F6D83">
        <w:rPr>
          <w:rFonts w:cs="Arial"/>
          <w:szCs w:val="20"/>
        </w:rPr>
        <w:t>particularly when needing longer consultation</w:t>
      </w:r>
      <w:r>
        <w:rPr>
          <w:rFonts w:cs="Arial"/>
          <w:szCs w:val="20"/>
        </w:rPr>
        <w:t xml:space="preserve">s </w:t>
      </w:r>
      <w:r w:rsidRPr="003F6D83">
        <w:rPr>
          <w:rFonts w:cs="Arial"/>
          <w:szCs w:val="20"/>
        </w:rPr>
        <w:t xml:space="preserve">to initiate </w:t>
      </w:r>
      <w:proofErr w:type="spellStart"/>
      <w:r w:rsidRPr="003F6D83">
        <w:rPr>
          <w:rFonts w:cs="Arial"/>
          <w:szCs w:val="20"/>
        </w:rPr>
        <w:t>PrEP</w:t>
      </w:r>
      <w:proofErr w:type="spellEnd"/>
      <w:r>
        <w:rPr>
          <w:rFonts w:cs="Arial"/>
          <w:szCs w:val="20"/>
        </w:rPr>
        <w:t xml:space="preserve"> </w:t>
      </w:r>
      <w:r w:rsidRPr="003F6D83">
        <w:rPr>
          <w:rFonts w:cs="Arial"/>
          <w:szCs w:val="20"/>
        </w:rPr>
        <w:t>and carry out required monitoring (e.g. kidney function)</w:t>
      </w:r>
    </w:p>
    <w:p w14:paraId="3562E8BC" w14:textId="77777777" w:rsidR="00314035" w:rsidRDefault="00314035" w:rsidP="00314035">
      <w:pPr>
        <w:pStyle w:val="ListParagraph"/>
        <w:numPr>
          <w:ilvl w:val="1"/>
          <w:numId w:val="5"/>
        </w:numPr>
        <w:rPr>
          <w:rFonts w:cs="Arial"/>
          <w:szCs w:val="20"/>
        </w:rPr>
      </w:pPr>
      <w:r w:rsidRPr="00951546">
        <w:rPr>
          <w:rFonts w:cs="Arial"/>
          <w:szCs w:val="20"/>
        </w:rPr>
        <w:t xml:space="preserve">concern about the costs of </w:t>
      </w:r>
      <w:proofErr w:type="spellStart"/>
      <w:r w:rsidRPr="00951546">
        <w:rPr>
          <w:rFonts w:cs="Arial"/>
          <w:szCs w:val="20"/>
        </w:rPr>
        <w:t>PrEP</w:t>
      </w:r>
      <w:proofErr w:type="spellEnd"/>
      <w:r>
        <w:rPr>
          <w:rFonts w:cs="Arial"/>
          <w:szCs w:val="20"/>
        </w:rPr>
        <w:t xml:space="preserve">, </w:t>
      </w:r>
    </w:p>
    <w:p w14:paraId="2E873D47" w14:textId="77777777" w:rsidR="00314035" w:rsidRPr="003F6D83" w:rsidRDefault="00314035" w:rsidP="00314035">
      <w:pPr>
        <w:pStyle w:val="ListParagraph"/>
        <w:numPr>
          <w:ilvl w:val="2"/>
          <w:numId w:val="5"/>
        </w:numPr>
        <w:rPr>
          <w:rFonts w:cs="Arial"/>
          <w:szCs w:val="20"/>
        </w:rPr>
      </w:pPr>
      <w:r w:rsidRPr="003F6D83">
        <w:rPr>
          <w:rFonts w:cs="Arial"/>
          <w:szCs w:val="20"/>
        </w:rPr>
        <w:t>Economic and social opportunity barriers for pharmacists included the country’s economic instability</w:t>
      </w:r>
      <w:r>
        <w:rPr>
          <w:rFonts w:cs="Arial"/>
          <w:szCs w:val="20"/>
        </w:rPr>
        <w:t xml:space="preserve"> </w:t>
      </w:r>
      <w:r w:rsidRPr="003F6D83">
        <w:rPr>
          <w:rFonts w:cs="Arial"/>
          <w:szCs w:val="20"/>
        </w:rPr>
        <w:t>and the inability to advertise branded medications</w:t>
      </w:r>
    </w:p>
    <w:p w14:paraId="1546A37D" w14:textId="77777777" w:rsidR="00314035" w:rsidRDefault="00314035" w:rsidP="00314035">
      <w:pPr>
        <w:pStyle w:val="ListParagraph"/>
        <w:numPr>
          <w:ilvl w:val="1"/>
          <w:numId w:val="5"/>
        </w:numPr>
        <w:rPr>
          <w:rFonts w:cs="Arial"/>
          <w:szCs w:val="20"/>
        </w:rPr>
      </w:pPr>
      <w:r w:rsidRPr="00951546">
        <w:rPr>
          <w:rFonts w:cs="Arial"/>
          <w:szCs w:val="20"/>
        </w:rPr>
        <w:t xml:space="preserve">and believing that </w:t>
      </w:r>
      <w:proofErr w:type="spellStart"/>
      <w:r w:rsidRPr="00951546">
        <w:rPr>
          <w:rFonts w:cs="Arial"/>
          <w:szCs w:val="20"/>
        </w:rPr>
        <w:t>PrEP</w:t>
      </w:r>
      <w:proofErr w:type="spellEnd"/>
      <w:r w:rsidRPr="00951546">
        <w:rPr>
          <w:rFonts w:cs="Arial"/>
          <w:szCs w:val="20"/>
        </w:rPr>
        <w:t xml:space="preserve"> use could lead to risk behaviours and sexually transmitted infections (motivation)</w:t>
      </w:r>
    </w:p>
    <w:p w14:paraId="51FAABF4" w14:textId="77777777" w:rsidR="00314035" w:rsidRDefault="00314035" w:rsidP="00314035">
      <w:pPr>
        <w:pStyle w:val="ListParagraph"/>
        <w:numPr>
          <w:ilvl w:val="2"/>
          <w:numId w:val="5"/>
        </w:numPr>
        <w:rPr>
          <w:rFonts w:cs="Arial"/>
          <w:szCs w:val="20"/>
        </w:rPr>
      </w:pPr>
      <w:r>
        <w:rPr>
          <w:rFonts w:cs="Arial"/>
          <w:szCs w:val="20"/>
        </w:rPr>
        <w:t xml:space="preserve">Also includes </w:t>
      </w:r>
      <w:r w:rsidRPr="0052764A">
        <w:rPr>
          <w:rFonts w:cs="Arial"/>
          <w:szCs w:val="20"/>
        </w:rPr>
        <w:t xml:space="preserve">experiencing opposition to </w:t>
      </w:r>
      <w:proofErr w:type="spellStart"/>
      <w:r w:rsidRPr="0052764A">
        <w:rPr>
          <w:rFonts w:cs="Arial"/>
          <w:szCs w:val="20"/>
        </w:rPr>
        <w:t>PrEP</w:t>
      </w:r>
      <w:proofErr w:type="spellEnd"/>
      <w:r w:rsidRPr="0052764A">
        <w:rPr>
          <w:rFonts w:cs="Arial"/>
          <w:szCs w:val="20"/>
        </w:rPr>
        <w:t xml:space="preserve"> delivery from colleagues</w:t>
      </w:r>
    </w:p>
    <w:p w14:paraId="18A39CAA" w14:textId="77777777" w:rsidR="00314035" w:rsidRDefault="00314035" w:rsidP="00314035">
      <w:pPr>
        <w:pStyle w:val="ListParagraph"/>
        <w:numPr>
          <w:ilvl w:val="0"/>
          <w:numId w:val="5"/>
        </w:numPr>
        <w:rPr>
          <w:rFonts w:cs="Arial"/>
          <w:szCs w:val="20"/>
        </w:rPr>
      </w:pPr>
      <w:r>
        <w:rPr>
          <w:rFonts w:cs="Arial"/>
          <w:szCs w:val="20"/>
        </w:rPr>
        <w:t xml:space="preserve">Key facilitators to </w:t>
      </w:r>
      <w:proofErr w:type="spellStart"/>
      <w:r>
        <w:rPr>
          <w:rFonts w:cs="Arial"/>
          <w:szCs w:val="20"/>
        </w:rPr>
        <w:t>PrEP</w:t>
      </w:r>
      <w:proofErr w:type="spellEnd"/>
      <w:r>
        <w:rPr>
          <w:rFonts w:cs="Arial"/>
          <w:szCs w:val="20"/>
        </w:rPr>
        <w:t xml:space="preserve"> delivery for </w:t>
      </w:r>
      <w:r w:rsidRPr="003F6D83">
        <w:rPr>
          <w:rFonts w:cs="Arial"/>
          <w:b/>
          <w:bCs/>
          <w:szCs w:val="20"/>
          <w:u w:val="single"/>
        </w:rPr>
        <w:t>pharmacists</w:t>
      </w:r>
      <w:r>
        <w:rPr>
          <w:rFonts w:cs="Arial"/>
          <w:szCs w:val="20"/>
        </w:rPr>
        <w:t xml:space="preserve"> included:</w:t>
      </w:r>
    </w:p>
    <w:p w14:paraId="57BDE43F" w14:textId="77777777" w:rsidR="00314035" w:rsidRDefault="00314035" w:rsidP="00314035">
      <w:pPr>
        <w:pStyle w:val="ListParagraph"/>
        <w:numPr>
          <w:ilvl w:val="1"/>
          <w:numId w:val="5"/>
        </w:numPr>
        <w:rPr>
          <w:rFonts w:cs="Arial"/>
          <w:szCs w:val="20"/>
        </w:rPr>
      </w:pPr>
      <w:r w:rsidRPr="003F6D83">
        <w:rPr>
          <w:rFonts w:cs="Arial"/>
          <w:szCs w:val="20"/>
        </w:rPr>
        <w:t xml:space="preserve">staff training (capability), </w:t>
      </w:r>
    </w:p>
    <w:p w14:paraId="2AEA3176" w14:textId="77777777" w:rsidR="00314035" w:rsidRDefault="00314035" w:rsidP="00314035">
      <w:pPr>
        <w:pStyle w:val="ListParagraph"/>
        <w:numPr>
          <w:ilvl w:val="1"/>
          <w:numId w:val="5"/>
        </w:numPr>
        <w:rPr>
          <w:rFonts w:cs="Arial"/>
          <w:szCs w:val="20"/>
        </w:rPr>
      </w:pPr>
      <w:r w:rsidRPr="003F6D83">
        <w:rPr>
          <w:rFonts w:cs="Arial"/>
          <w:szCs w:val="20"/>
        </w:rPr>
        <w:t xml:space="preserve">time, </w:t>
      </w:r>
    </w:p>
    <w:p w14:paraId="757836E8" w14:textId="77777777" w:rsidR="00314035" w:rsidRDefault="00314035" w:rsidP="00314035">
      <w:pPr>
        <w:pStyle w:val="ListParagraph"/>
        <w:numPr>
          <w:ilvl w:val="1"/>
          <w:numId w:val="5"/>
        </w:numPr>
        <w:rPr>
          <w:rFonts w:cs="Arial"/>
          <w:szCs w:val="20"/>
        </w:rPr>
      </w:pPr>
      <w:r w:rsidRPr="003F6D83">
        <w:rPr>
          <w:rFonts w:cs="Arial"/>
          <w:szCs w:val="20"/>
        </w:rPr>
        <w:t xml:space="preserve">the right facilities (opportunity), </w:t>
      </w:r>
    </w:p>
    <w:p w14:paraId="1FDF6795" w14:textId="77777777" w:rsidR="00314035" w:rsidRDefault="00314035" w:rsidP="00314035">
      <w:pPr>
        <w:pStyle w:val="ListParagraph"/>
        <w:numPr>
          <w:ilvl w:val="2"/>
          <w:numId w:val="5"/>
        </w:numPr>
        <w:rPr>
          <w:rFonts w:cs="Arial"/>
          <w:szCs w:val="20"/>
        </w:rPr>
      </w:pPr>
      <w:r w:rsidRPr="003F6D83">
        <w:rPr>
          <w:rFonts w:cs="Arial"/>
          <w:szCs w:val="20"/>
        </w:rPr>
        <w:t xml:space="preserve">community pharmacies being perceived as ideal locations for </w:t>
      </w:r>
      <w:proofErr w:type="spellStart"/>
      <w:r w:rsidRPr="003F6D83">
        <w:rPr>
          <w:rFonts w:cs="Arial"/>
          <w:szCs w:val="20"/>
        </w:rPr>
        <w:t>PrEP</w:t>
      </w:r>
      <w:proofErr w:type="spellEnd"/>
      <w:r w:rsidRPr="003F6D83">
        <w:rPr>
          <w:rFonts w:cs="Arial"/>
          <w:szCs w:val="20"/>
        </w:rPr>
        <w:t xml:space="preserve"> delivery, accessible, conveniently located and with extended opening hours</w:t>
      </w:r>
    </w:p>
    <w:p w14:paraId="58957800" w14:textId="77777777" w:rsidR="00314035" w:rsidRDefault="00314035" w:rsidP="00314035">
      <w:pPr>
        <w:pStyle w:val="ListParagraph"/>
        <w:numPr>
          <w:ilvl w:val="2"/>
          <w:numId w:val="5"/>
        </w:numPr>
        <w:rPr>
          <w:rFonts w:cs="Arial"/>
          <w:szCs w:val="20"/>
        </w:rPr>
      </w:pPr>
      <w:r w:rsidRPr="003F6D83">
        <w:rPr>
          <w:rFonts w:cs="Arial"/>
          <w:szCs w:val="20"/>
        </w:rPr>
        <w:t>Having a private consultation room to have conduct sensitive conversations, in addition to STI and HIV testing</w:t>
      </w:r>
    </w:p>
    <w:p w14:paraId="79296CAA" w14:textId="77777777" w:rsidR="00314035" w:rsidRPr="00951546" w:rsidRDefault="00314035" w:rsidP="00314035">
      <w:pPr>
        <w:pStyle w:val="ListParagraph"/>
        <w:numPr>
          <w:ilvl w:val="1"/>
          <w:numId w:val="5"/>
        </w:numPr>
        <w:rPr>
          <w:rFonts w:cs="Arial"/>
          <w:szCs w:val="20"/>
        </w:rPr>
      </w:pPr>
      <w:r w:rsidRPr="003F6D83">
        <w:rPr>
          <w:rFonts w:cs="Arial"/>
          <w:szCs w:val="20"/>
        </w:rPr>
        <w:t xml:space="preserve">believing </w:t>
      </w:r>
      <w:proofErr w:type="spellStart"/>
      <w:r w:rsidRPr="003F6D83">
        <w:rPr>
          <w:rFonts w:cs="Arial"/>
          <w:szCs w:val="20"/>
        </w:rPr>
        <w:t>PrEP</w:t>
      </w:r>
      <w:proofErr w:type="spellEnd"/>
      <w:r w:rsidRPr="003F6D83">
        <w:rPr>
          <w:rFonts w:cs="Arial"/>
          <w:szCs w:val="20"/>
        </w:rPr>
        <w:t xml:space="preserve"> could be a source of profit and could reduce new HIV acquisitions (motivation).</w:t>
      </w:r>
    </w:p>
    <w:p w14:paraId="453ABFB3" w14:textId="77777777" w:rsidR="00314035" w:rsidRDefault="00314035" w:rsidP="00314035">
      <w:pPr>
        <w:pStyle w:val="ListParagraph"/>
        <w:numPr>
          <w:ilvl w:val="0"/>
          <w:numId w:val="5"/>
        </w:numPr>
        <w:rPr>
          <w:rFonts w:cs="Arial"/>
          <w:szCs w:val="20"/>
        </w:rPr>
      </w:pPr>
      <w:r>
        <w:rPr>
          <w:rFonts w:cs="Arial"/>
          <w:szCs w:val="20"/>
        </w:rPr>
        <w:t>Key b</w:t>
      </w:r>
      <w:r w:rsidRPr="00951546">
        <w:rPr>
          <w:rFonts w:cs="Arial"/>
          <w:szCs w:val="20"/>
        </w:rPr>
        <w:t xml:space="preserve">arriers to </w:t>
      </w:r>
      <w:proofErr w:type="spellStart"/>
      <w:r w:rsidRPr="00951546">
        <w:rPr>
          <w:rFonts w:cs="Arial"/>
          <w:szCs w:val="20"/>
        </w:rPr>
        <w:t>PrEP</w:t>
      </w:r>
      <w:proofErr w:type="spellEnd"/>
      <w:r w:rsidRPr="00951546">
        <w:rPr>
          <w:rFonts w:cs="Arial"/>
          <w:szCs w:val="20"/>
        </w:rPr>
        <w:t xml:space="preserve"> delivery for </w:t>
      </w:r>
      <w:r>
        <w:rPr>
          <w:rFonts w:cs="Arial"/>
          <w:b/>
          <w:bCs/>
          <w:szCs w:val="20"/>
          <w:u w:val="single"/>
        </w:rPr>
        <w:t>patients</w:t>
      </w:r>
      <w:r w:rsidRPr="00951546">
        <w:rPr>
          <w:rFonts w:cs="Arial"/>
          <w:szCs w:val="20"/>
        </w:rPr>
        <w:t xml:space="preserve"> included</w:t>
      </w:r>
      <w:r>
        <w:rPr>
          <w:rFonts w:cs="Arial"/>
          <w:szCs w:val="20"/>
        </w:rPr>
        <w:t>:</w:t>
      </w:r>
    </w:p>
    <w:p w14:paraId="79D91F4C" w14:textId="77777777" w:rsidR="00314035" w:rsidRDefault="00314035" w:rsidP="00314035">
      <w:pPr>
        <w:pStyle w:val="ListParagraph"/>
        <w:numPr>
          <w:ilvl w:val="1"/>
          <w:numId w:val="5"/>
        </w:numPr>
        <w:rPr>
          <w:rFonts w:cs="Arial"/>
          <w:szCs w:val="20"/>
        </w:rPr>
      </w:pPr>
      <w:r w:rsidRPr="003F6D83">
        <w:rPr>
          <w:rFonts w:cs="Arial"/>
          <w:szCs w:val="20"/>
        </w:rPr>
        <w:t xml:space="preserve">lack of </w:t>
      </w:r>
      <w:proofErr w:type="spellStart"/>
      <w:r w:rsidRPr="003F6D83">
        <w:rPr>
          <w:rFonts w:cs="Arial"/>
          <w:szCs w:val="20"/>
        </w:rPr>
        <w:t>PrEP</w:t>
      </w:r>
      <w:proofErr w:type="spellEnd"/>
      <w:r w:rsidRPr="003F6D83">
        <w:rPr>
          <w:rFonts w:cs="Arial"/>
          <w:szCs w:val="20"/>
        </w:rPr>
        <w:t xml:space="preserve"> awareness (capability), </w:t>
      </w:r>
    </w:p>
    <w:p w14:paraId="1992AEAF" w14:textId="77777777" w:rsidR="00314035" w:rsidRDefault="00314035" w:rsidP="00314035">
      <w:pPr>
        <w:pStyle w:val="ListParagraph"/>
        <w:numPr>
          <w:ilvl w:val="1"/>
          <w:numId w:val="5"/>
        </w:numPr>
        <w:rPr>
          <w:rFonts w:cs="Arial"/>
          <w:szCs w:val="20"/>
        </w:rPr>
      </w:pPr>
      <w:r w:rsidRPr="003F6D83">
        <w:rPr>
          <w:rFonts w:cs="Arial"/>
          <w:szCs w:val="20"/>
        </w:rPr>
        <w:t xml:space="preserve">pharmacy facilities (opportunity) </w:t>
      </w:r>
    </w:p>
    <w:p w14:paraId="2B441DA8" w14:textId="77777777" w:rsidR="00314035" w:rsidRDefault="00314035" w:rsidP="00314035">
      <w:pPr>
        <w:pStyle w:val="ListParagraph"/>
        <w:numPr>
          <w:ilvl w:val="1"/>
          <w:numId w:val="5"/>
        </w:numPr>
        <w:rPr>
          <w:rFonts w:cs="Arial"/>
          <w:szCs w:val="20"/>
        </w:rPr>
      </w:pPr>
      <w:r w:rsidRPr="003F6D83">
        <w:rPr>
          <w:rFonts w:cs="Arial"/>
          <w:szCs w:val="20"/>
        </w:rPr>
        <w:t>and not considering pharmacists as healthcare providers (motivation</w:t>
      </w:r>
      <w:r>
        <w:rPr>
          <w:rFonts w:cs="Arial"/>
          <w:szCs w:val="20"/>
        </w:rPr>
        <w:t>)</w:t>
      </w:r>
    </w:p>
    <w:p w14:paraId="6F3284B4" w14:textId="77777777" w:rsidR="00314035" w:rsidRDefault="00314035" w:rsidP="00314035">
      <w:pPr>
        <w:pStyle w:val="ListParagraph"/>
        <w:numPr>
          <w:ilvl w:val="0"/>
          <w:numId w:val="5"/>
        </w:numPr>
        <w:rPr>
          <w:rFonts w:cs="Arial"/>
          <w:szCs w:val="20"/>
        </w:rPr>
      </w:pPr>
      <w:r>
        <w:rPr>
          <w:rFonts w:cs="Arial"/>
          <w:szCs w:val="20"/>
        </w:rPr>
        <w:t xml:space="preserve">Key facilitators to </w:t>
      </w:r>
      <w:proofErr w:type="spellStart"/>
      <w:r>
        <w:rPr>
          <w:rFonts w:cs="Arial"/>
          <w:szCs w:val="20"/>
        </w:rPr>
        <w:t>PrEP</w:t>
      </w:r>
      <w:proofErr w:type="spellEnd"/>
      <w:r>
        <w:rPr>
          <w:rFonts w:cs="Arial"/>
          <w:szCs w:val="20"/>
        </w:rPr>
        <w:t xml:space="preserve"> delivery for </w:t>
      </w:r>
      <w:r w:rsidRPr="003F6D83">
        <w:rPr>
          <w:rFonts w:cs="Arial"/>
          <w:b/>
          <w:bCs/>
          <w:szCs w:val="20"/>
          <w:u w:val="single"/>
        </w:rPr>
        <w:t>patients</w:t>
      </w:r>
      <w:r>
        <w:rPr>
          <w:rFonts w:cs="Arial"/>
          <w:szCs w:val="20"/>
        </w:rPr>
        <w:t xml:space="preserve"> included:</w:t>
      </w:r>
    </w:p>
    <w:p w14:paraId="0019E2F5" w14:textId="77777777" w:rsidR="00314035" w:rsidRDefault="00314035" w:rsidP="00314035">
      <w:pPr>
        <w:pStyle w:val="ListParagraph"/>
        <w:numPr>
          <w:ilvl w:val="1"/>
          <w:numId w:val="5"/>
        </w:numPr>
        <w:rPr>
          <w:rFonts w:cs="Arial"/>
          <w:szCs w:val="20"/>
        </w:rPr>
      </w:pPr>
      <w:r w:rsidRPr="003F6D83">
        <w:rPr>
          <w:rFonts w:cs="Arial"/>
          <w:szCs w:val="20"/>
        </w:rPr>
        <w:t xml:space="preserve">awareness of </w:t>
      </w:r>
      <w:proofErr w:type="spellStart"/>
      <w:r w:rsidRPr="003F6D83">
        <w:rPr>
          <w:rFonts w:cs="Arial"/>
          <w:szCs w:val="20"/>
        </w:rPr>
        <w:t>PrEP</w:t>
      </w:r>
      <w:proofErr w:type="spellEnd"/>
      <w:r w:rsidRPr="003F6D83">
        <w:rPr>
          <w:rFonts w:cs="Arial"/>
          <w:szCs w:val="20"/>
        </w:rPr>
        <w:t xml:space="preserve"> and pharmacist’s training to deliver it (capability), </w:t>
      </w:r>
    </w:p>
    <w:p w14:paraId="7C248454" w14:textId="77777777" w:rsidR="00314035" w:rsidRDefault="00314035" w:rsidP="00314035">
      <w:pPr>
        <w:pStyle w:val="ListParagraph"/>
        <w:numPr>
          <w:ilvl w:val="1"/>
          <w:numId w:val="5"/>
        </w:numPr>
        <w:rPr>
          <w:rFonts w:cs="Arial"/>
          <w:szCs w:val="20"/>
        </w:rPr>
      </w:pPr>
      <w:r w:rsidRPr="003F6D83">
        <w:rPr>
          <w:rFonts w:cs="Arial"/>
          <w:szCs w:val="20"/>
        </w:rPr>
        <w:t>the accessibility of pharmacies (opportunity)</w:t>
      </w:r>
      <w:r>
        <w:rPr>
          <w:rFonts w:cs="Arial"/>
          <w:szCs w:val="20"/>
        </w:rPr>
        <w:t>,</w:t>
      </w:r>
    </w:p>
    <w:p w14:paraId="1FF5749E" w14:textId="77777777" w:rsidR="00314035" w:rsidRDefault="00314035" w:rsidP="00314035">
      <w:pPr>
        <w:pStyle w:val="ListParagraph"/>
        <w:numPr>
          <w:ilvl w:val="1"/>
          <w:numId w:val="5"/>
        </w:numPr>
        <w:rPr>
          <w:rFonts w:cs="Arial"/>
          <w:szCs w:val="20"/>
        </w:rPr>
      </w:pPr>
      <w:r w:rsidRPr="003F6D83">
        <w:rPr>
          <w:rFonts w:cs="Arial"/>
          <w:szCs w:val="20"/>
        </w:rPr>
        <w:t xml:space="preserve">and having an interest in </w:t>
      </w:r>
      <w:proofErr w:type="spellStart"/>
      <w:r w:rsidRPr="003F6D83">
        <w:rPr>
          <w:rFonts w:cs="Arial"/>
          <w:szCs w:val="20"/>
        </w:rPr>
        <w:t>PrEP</w:t>
      </w:r>
      <w:proofErr w:type="spellEnd"/>
      <w:r w:rsidRPr="003F6D83">
        <w:rPr>
          <w:rFonts w:cs="Arial"/>
          <w:szCs w:val="20"/>
        </w:rPr>
        <w:t xml:space="preserve"> (motivation).</w:t>
      </w:r>
    </w:p>
    <w:p w14:paraId="59C36B5E" w14:textId="77777777" w:rsidR="006642A3" w:rsidRPr="009B56E1" w:rsidRDefault="006642A3" w:rsidP="009B56E1">
      <w:pPr>
        <w:rPr>
          <w:rFonts w:cs="Arial"/>
          <w:szCs w:val="20"/>
        </w:rPr>
      </w:pPr>
    </w:p>
    <w:p w14:paraId="28EAD7B4" w14:textId="77777777" w:rsidR="00A13514" w:rsidRDefault="00A13514" w:rsidP="00A13514">
      <w:pPr>
        <w:rPr>
          <w:rFonts w:cs="Arial"/>
          <w:b/>
          <w:bCs/>
          <w:szCs w:val="20"/>
        </w:rPr>
      </w:pPr>
      <w:hyperlink r:id="rId9" w:history="1">
        <w:r w:rsidRPr="00423DEF">
          <w:rPr>
            <w:rStyle w:val="Hyperlink"/>
            <w:rFonts w:cs="Arial"/>
            <w:b/>
            <w:bCs/>
            <w:szCs w:val="20"/>
          </w:rPr>
          <w:t>Evaluation of gende</w:t>
        </w:r>
        <w:r w:rsidRPr="00423DEF">
          <w:rPr>
            <w:rStyle w:val="Hyperlink"/>
            <w:rFonts w:cs="Arial"/>
            <w:b/>
            <w:bCs/>
            <w:szCs w:val="20"/>
          </w:rPr>
          <w:t>r</w:t>
        </w:r>
        <w:r w:rsidRPr="00423DEF">
          <w:rPr>
            <w:rStyle w:val="Hyperlink"/>
            <w:rFonts w:cs="Arial"/>
            <w:b/>
            <w:bCs/>
            <w:szCs w:val="20"/>
          </w:rPr>
          <w:t>-affirming care experiences of transgender and gender diverse patients within a LGBTQ+ community pharmacy</w:t>
        </w:r>
      </w:hyperlink>
      <w:r>
        <w:rPr>
          <w:rFonts w:cs="Arial"/>
          <w:b/>
          <w:bCs/>
          <w:szCs w:val="20"/>
        </w:rPr>
        <w:t xml:space="preserve"> (Perez, V, et al., 2024)</w:t>
      </w:r>
    </w:p>
    <w:p w14:paraId="5461E802" w14:textId="77777777" w:rsidR="00A13514" w:rsidRPr="00AD0F30" w:rsidRDefault="00A13514" w:rsidP="00A13514">
      <w:pPr>
        <w:pStyle w:val="ListParagraph"/>
        <w:numPr>
          <w:ilvl w:val="0"/>
          <w:numId w:val="5"/>
        </w:numPr>
        <w:rPr>
          <w:rFonts w:cs="Arial"/>
          <w:szCs w:val="20"/>
        </w:rPr>
      </w:pPr>
      <w:r w:rsidRPr="00AD0F30">
        <w:rPr>
          <w:rFonts w:cs="Arial"/>
          <w:szCs w:val="20"/>
        </w:rPr>
        <w:t>Study Focus</w:t>
      </w:r>
    </w:p>
    <w:p w14:paraId="4B0E89D7" w14:textId="77777777" w:rsidR="00A13514" w:rsidRPr="00AD0F30" w:rsidRDefault="00A13514" w:rsidP="00A13514">
      <w:pPr>
        <w:pStyle w:val="ListParagraph"/>
        <w:numPr>
          <w:ilvl w:val="1"/>
          <w:numId w:val="5"/>
        </w:numPr>
        <w:rPr>
          <w:rFonts w:cs="Arial"/>
          <w:szCs w:val="20"/>
        </w:rPr>
      </w:pPr>
      <w:r w:rsidRPr="00AD0F30">
        <w:rPr>
          <w:rFonts w:cs="Arial"/>
          <w:szCs w:val="20"/>
        </w:rPr>
        <w:t>The study examined gender-affirming care experiences of transgender and gender diverse (TGD) patients within an LGBTQ+ community pharmacy, specifically looking at how TGD pharmacy perceptions and behaviours are influenced with gender-affirming care (GAC) accessibility.</w:t>
      </w:r>
    </w:p>
    <w:p w14:paraId="07CAD347" w14:textId="77777777" w:rsidR="00A13514" w:rsidRPr="00AD0F30" w:rsidRDefault="00A13514" w:rsidP="00A13514">
      <w:pPr>
        <w:pStyle w:val="ListParagraph"/>
        <w:numPr>
          <w:ilvl w:val="0"/>
          <w:numId w:val="5"/>
        </w:numPr>
        <w:rPr>
          <w:rFonts w:cs="Arial"/>
          <w:szCs w:val="20"/>
        </w:rPr>
      </w:pPr>
      <w:r w:rsidRPr="00AD0F30">
        <w:rPr>
          <w:rFonts w:cs="Arial"/>
          <w:szCs w:val="20"/>
        </w:rPr>
        <w:t>Barriers to Access Identified</w:t>
      </w:r>
    </w:p>
    <w:p w14:paraId="0B17F9ED" w14:textId="77777777" w:rsidR="00A13514" w:rsidRDefault="00A13514" w:rsidP="00A13514">
      <w:pPr>
        <w:pStyle w:val="ListParagraph"/>
        <w:numPr>
          <w:ilvl w:val="1"/>
          <w:numId w:val="5"/>
        </w:numPr>
        <w:rPr>
          <w:rFonts w:cs="Arial"/>
          <w:szCs w:val="20"/>
        </w:rPr>
      </w:pPr>
      <w:r w:rsidRPr="00AD0F30">
        <w:rPr>
          <w:rFonts w:cs="Arial"/>
          <w:szCs w:val="20"/>
        </w:rPr>
        <w:t>The research highlighted that TGD populations face limited care access, which negatively shapes health care involvement. These barriers can manifest as health care avoidance, identity concealment, or preventive care hinderance.</w:t>
      </w:r>
    </w:p>
    <w:p w14:paraId="31DBB63E" w14:textId="77777777" w:rsidR="00A13514" w:rsidRDefault="00A13514" w:rsidP="00A13514">
      <w:pPr>
        <w:pStyle w:val="ListParagraph"/>
        <w:numPr>
          <w:ilvl w:val="1"/>
          <w:numId w:val="5"/>
        </w:numPr>
        <w:rPr>
          <w:rFonts w:cs="Arial"/>
          <w:szCs w:val="20"/>
        </w:rPr>
      </w:pPr>
      <w:r w:rsidRPr="00AD0F30">
        <w:rPr>
          <w:rFonts w:cs="Arial"/>
          <w:szCs w:val="20"/>
        </w:rPr>
        <w:t>The study found statistically significant differences in how TGD patients interacted with LGBTQ+ community pharmacies compared to external/traditional pharmacies</w:t>
      </w:r>
    </w:p>
    <w:p w14:paraId="54EB2464" w14:textId="77777777" w:rsidR="00A13514" w:rsidRDefault="00A13514" w:rsidP="00A13514">
      <w:pPr>
        <w:pStyle w:val="ListParagraph"/>
        <w:numPr>
          <w:ilvl w:val="0"/>
          <w:numId w:val="5"/>
        </w:numPr>
        <w:rPr>
          <w:rFonts w:cs="Arial"/>
          <w:szCs w:val="20"/>
        </w:rPr>
      </w:pPr>
      <w:r>
        <w:rPr>
          <w:rFonts w:cs="Arial"/>
          <w:szCs w:val="20"/>
        </w:rPr>
        <w:t>Key Stats:</w:t>
      </w:r>
    </w:p>
    <w:p w14:paraId="5BDFEF30" w14:textId="77777777" w:rsidR="00A13514" w:rsidRPr="00AD0F30" w:rsidRDefault="00A13514" w:rsidP="00A13514">
      <w:pPr>
        <w:pStyle w:val="ListParagraph"/>
        <w:numPr>
          <w:ilvl w:val="1"/>
          <w:numId w:val="5"/>
        </w:numPr>
        <w:rPr>
          <w:rFonts w:cs="Arial"/>
          <w:szCs w:val="20"/>
        </w:rPr>
      </w:pPr>
      <w:r w:rsidRPr="00AD0F30">
        <w:rPr>
          <w:rFonts w:cs="Arial"/>
          <w:szCs w:val="20"/>
        </w:rPr>
        <w:t xml:space="preserve"> </w:t>
      </w:r>
      <w:r w:rsidRPr="00AD0F30">
        <w:rPr>
          <w:rFonts w:cs="Arial"/>
          <w:b/>
          <w:bCs/>
          <w:szCs w:val="20"/>
        </w:rPr>
        <w:t xml:space="preserve">267 </w:t>
      </w:r>
      <w:r w:rsidRPr="00AD0F30">
        <w:rPr>
          <w:rFonts w:cs="Arial"/>
          <w:szCs w:val="20"/>
        </w:rPr>
        <w:t>total surveys completed</w:t>
      </w:r>
      <w:r>
        <w:rPr>
          <w:rFonts w:cs="Arial"/>
          <w:szCs w:val="20"/>
        </w:rPr>
        <w:t>.</w:t>
      </w:r>
      <w:r w:rsidRPr="00AD0F30">
        <w:rPr>
          <w:rFonts w:cs="Arial"/>
          <w:szCs w:val="20"/>
        </w:rPr>
        <w:t xml:space="preserve"> </w:t>
      </w:r>
      <w:r w:rsidRPr="00AD0F30">
        <w:rPr>
          <w:rFonts w:cs="Arial"/>
          <w:b/>
          <w:bCs/>
          <w:szCs w:val="20"/>
        </w:rPr>
        <w:t xml:space="preserve">96 </w:t>
      </w:r>
      <w:r w:rsidRPr="00AD0F30">
        <w:rPr>
          <w:rFonts w:cs="Arial"/>
          <w:szCs w:val="20"/>
        </w:rPr>
        <w:t>transgender and gender diverse (TGD) submissions qualified for analysis</w:t>
      </w:r>
    </w:p>
    <w:p w14:paraId="38E7DCA1" w14:textId="77777777" w:rsidR="00A13514" w:rsidRDefault="00A13514" w:rsidP="00A13514">
      <w:pPr>
        <w:pStyle w:val="ListParagraph"/>
        <w:numPr>
          <w:ilvl w:val="1"/>
          <w:numId w:val="5"/>
        </w:numPr>
        <w:rPr>
          <w:rFonts w:cs="Arial"/>
          <w:szCs w:val="20"/>
        </w:rPr>
      </w:pPr>
      <w:r w:rsidRPr="00AD0F30">
        <w:rPr>
          <w:rFonts w:cs="Arial"/>
          <w:b/>
          <w:bCs/>
          <w:szCs w:val="20"/>
        </w:rPr>
        <w:t>96.9%</w:t>
      </w:r>
      <w:r w:rsidRPr="00AD0F30">
        <w:rPr>
          <w:rFonts w:cs="Arial"/>
          <w:szCs w:val="20"/>
        </w:rPr>
        <w:t xml:space="preserve"> discussed medications at LGBTQ+ pharmacies vs. </w:t>
      </w:r>
      <w:r w:rsidRPr="00AD0F30">
        <w:rPr>
          <w:rFonts w:cs="Arial"/>
          <w:b/>
          <w:bCs/>
          <w:szCs w:val="20"/>
        </w:rPr>
        <w:t>60.4%</w:t>
      </w:r>
      <w:r w:rsidRPr="00AD0F30">
        <w:rPr>
          <w:rFonts w:cs="Arial"/>
          <w:szCs w:val="20"/>
        </w:rPr>
        <w:t xml:space="preserve"> at external pharmacies</w:t>
      </w:r>
    </w:p>
    <w:p w14:paraId="3207DE50" w14:textId="77777777" w:rsidR="00A13514" w:rsidRDefault="00A13514" w:rsidP="00A13514">
      <w:pPr>
        <w:pStyle w:val="ListParagraph"/>
        <w:numPr>
          <w:ilvl w:val="1"/>
          <w:numId w:val="5"/>
        </w:numPr>
        <w:rPr>
          <w:rFonts w:cs="Arial"/>
          <w:szCs w:val="20"/>
        </w:rPr>
      </w:pPr>
      <w:r w:rsidRPr="00AD0F30">
        <w:rPr>
          <w:rFonts w:cs="Arial"/>
          <w:b/>
          <w:bCs/>
          <w:szCs w:val="20"/>
        </w:rPr>
        <w:t>64.6%</w:t>
      </w:r>
      <w:r w:rsidRPr="00AD0F30">
        <w:rPr>
          <w:rFonts w:cs="Arial"/>
          <w:szCs w:val="20"/>
        </w:rPr>
        <w:t xml:space="preserve"> discussed care plans at LGBTQ+ pharmacies vs. </w:t>
      </w:r>
      <w:r w:rsidRPr="00AD0F30">
        <w:rPr>
          <w:rFonts w:cs="Arial"/>
          <w:b/>
          <w:bCs/>
          <w:szCs w:val="20"/>
        </w:rPr>
        <w:t>41.6%</w:t>
      </w:r>
      <w:r w:rsidRPr="00AD0F30">
        <w:rPr>
          <w:rFonts w:cs="Arial"/>
          <w:szCs w:val="20"/>
        </w:rPr>
        <w:t xml:space="preserve"> at external pharmacies</w:t>
      </w:r>
    </w:p>
    <w:p w14:paraId="72E86406" w14:textId="77777777" w:rsidR="00A13514" w:rsidRDefault="00A13514" w:rsidP="00A13514">
      <w:pPr>
        <w:pStyle w:val="ListParagraph"/>
        <w:numPr>
          <w:ilvl w:val="1"/>
          <w:numId w:val="5"/>
        </w:numPr>
        <w:rPr>
          <w:rFonts w:cs="Arial"/>
          <w:szCs w:val="20"/>
        </w:rPr>
      </w:pPr>
      <w:r w:rsidRPr="00AD0F30">
        <w:rPr>
          <w:rFonts w:cs="Arial"/>
          <w:b/>
          <w:bCs/>
          <w:szCs w:val="20"/>
        </w:rPr>
        <w:lastRenderedPageBreak/>
        <w:t>97.9%</w:t>
      </w:r>
      <w:r w:rsidRPr="00AD0F30">
        <w:rPr>
          <w:rFonts w:cs="Arial"/>
          <w:szCs w:val="20"/>
        </w:rPr>
        <w:t xml:space="preserve"> disclosed pronouns or gender at LGBTQ+ pharmacies vs. </w:t>
      </w:r>
      <w:r w:rsidRPr="00AD0F30">
        <w:rPr>
          <w:rFonts w:cs="Arial"/>
          <w:b/>
          <w:bCs/>
          <w:szCs w:val="20"/>
        </w:rPr>
        <w:t>43.8%</w:t>
      </w:r>
      <w:r w:rsidRPr="00AD0F30">
        <w:rPr>
          <w:rFonts w:cs="Arial"/>
          <w:szCs w:val="20"/>
        </w:rPr>
        <w:t xml:space="preserve"> at external pharmacies</w:t>
      </w:r>
    </w:p>
    <w:p w14:paraId="58522686" w14:textId="77777777" w:rsidR="00A13514" w:rsidRDefault="00A13514" w:rsidP="00A13514">
      <w:pPr>
        <w:pStyle w:val="ListParagraph"/>
        <w:numPr>
          <w:ilvl w:val="1"/>
          <w:numId w:val="5"/>
        </w:numPr>
        <w:rPr>
          <w:rFonts w:cs="Arial"/>
          <w:szCs w:val="20"/>
        </w:rPr>
      </w:pPr>
      <w:r w:rsidRPr="00AD0F30">
        <w:rPr>
          <w:rFonts w:cs="Arial"/>
          <w:b/>
          <w:bCs/>
          <w:szCs w:val="20"/>
        </w:rPr>
        <w:t>96.8%</w:t>
      </w:r>
      <w:r w:rsidRPr="00AD0F30">
        <w:rPr>
          <w:rFonts w:cs="Arial"/>
          <w:szCs w:val="20"/>
        </w:rPr>
        <w:t xml:space="preserve"> felt their needs were understood at LGBTQ+ pharmacies vs. </w:t>
      </w:r>
      <w:r w:rsidRPr="00AD0F30">
        <w:rPr>
          <w:rFonts w:cs="Arial"/>
          <w:b/>
          <w:bCs/>
          <w:szCs w:val="20"/>
        </w:rPr>
        <w:t>51%</w:t>
      </w:r>
      <w:r w:rsidRPr="00AD0F30">
        <w:rPr>
          <w:rFonts w:cs="Arial"/>
          <w:szCs w:val="20"/>
        </w:rPr>
        <w:t xml:space="preserve"> at external pharmacies</w:t>
      </w:r>
    </w:p>
    <w:p w14:paraId="629CD5B1" w14:textId="77777777" w:rsidR="00A13514" w:rsidRPr="00AD0F30" w:rsidRDefault="00A13514" w:rsidP="00A13514">
      <w:pPr>
        <w:pStyle w:val="ListParagraph"/>
        <w:numPr>
          <w:ilvl w:val="1"/>
          <w:numId w:val="5"/>
        </w:numPr>
        <w:rPr>
          <w:rFonts w:cs="Arial"/>
          <w:szCs w:val="20"/>
        </w:rPr>
      </w:pPr>
      <w:r w:rsidRPr="00AD0F30">
        <w:rPr>
          <w:rFonts w:cs="Arial"/>
          <w:szCs w:val="20"/>
        </w:rPr>
        <w:t>These statistics demonstrate substantial disparities in access and comfort levels between inclusive LGBTQ+ community pharmacies and traditional external pharmacies, with the LGBTQ+ pharmacies showing dramatically higher rates of patient engagement and comfort across all measured categories.</w:t>
      </w:r>
    </w:p>
    <w:p w14:paraId="35BEE089" w14:textId="77777777" w:rsidR="00A13514" w:rsidRPr="00AD0F30" w:rsidRDefault="00A13514" w:rsidP="00A13514">
      <w:pPr>
        <w:pStyle w:val="ListParagraph"/>
        <w:numPr>
          <w:ilvl w:val="0"/>
          <w:numId w:val="5"/>
        </w:numPr>
        <w:rPr>
          <w:rFonts w:cs="Arial"/>
          <w:szCs w:val="20"/>
        </w:rPr>
      </w:pPr>
      <w:r w:rsidRPr="00AD0F30">
        <w:rPr>
          <w:rFonts w:cs="Arial"/>
          <w:szCs w:val="20"/>
        </w:rPr>
        <w:t>Community Pharmacy Role</w:t>
      </w:r>
    </w:p>
    <w:p w14:paraId="76B8BD8F" w14:textId="77777777" w:rsidR="00A13514" w:rsidRPr="00AD0F30" w:rsidRDefault="00A13514" w:rsidP="00A13514">
      <w:pPr>
        <w:pStyle w:val="ListParagraph"/>
        <w:numPr>
          <w:ilvl w:val="1"/>
          <w:numId w:val="5"/>
        </w:numPr>
        <w:rPr>
          <w:rFonts w:cs="Arial"/>
          <w:szCs w:val="20"/>
        </w:rPr>
      </w:pPr>
      <w:r w:rsidRPr="00AD0F30">
        <w:rPr>
          <w:rFonts w:cs="Arial"/>
          <w:szCs w:val="20"/>
        </w:rPr>
        <w:t>While community pharmacies remain engagement points for TGD patients, gender diverse services remain limited.</w:t>
      </w:r>
    </w:p>
    <w:p w14:paraId="284D1654" w14:textId="77777777" w:rsidR="00A13514" w:rsidRPr="00AD0F30" w:rsidRDefault="00A13514" w:rsidP="00A13514">
      <w:pPr>
        <w:pStyle w:val="ListParagraph"/>
        <w:numPr>
          <w:ilvl w:val="0"/>
          <w:numId w:val="5"/>
        </w:numPr>
        <w:rPr>
          <w:rFonts w:cs="Arial"/>
          <w:szCs w:val="20"/>
        </w:rPr>
      </w:pPr>
      <w:r w:rsidRPr="00AD0F30">
        <w:rPr>
          <w:rFonts w:cs="Arial"/>
          <w:szCs w:val="20"/>
        </w:rPr>
        <w:t>Key Findings on Solutions</w:t>
      </w:r>
    </w:p>
    <w:p w14:paraId="305E6644" w14:textId="77777777" w:rsidR="00A13514" w:rsidRDefault="00A13514" w:rsidP="00A13514">
      <w:pPr>
        <w:pStyle w:val="ListParagraph"/>
        <w:numPr>
          <w:ilvl w:val="1"/>
          <w:numId w:val="5"/>
        </w:numPr>
        <w:rPr>
          <w:rFonts w:cs="Arial"/>
          <w:szCs w:val="20"/>
        </w:rPr>
      </w:pPr>
      <w:r w:rsidRPr="00AD0F30">
        <w:rPr>
          <w:rFonts w:cs="Arial"/>
          <w:szCs w:val="20"/>
        </w:rPr>
        <w:t>The study found that inclusive community pharmacies may positively affect pharmacy perceptions and behaviours of TGD patients. The findings call attention to barriers in the provision of care for TGD patients while highlighting the change community pharmacies can have when providing these services</w:t>
      </w:r>
      <w:r>
        <w:rPr>
          <w:rFonts w:cs="Arial"/>
          <w:szCs w:val="20"/>
        </w:rPr>
        <w:t>.</w:t>
      </w:r>
    </w:p>
    <w:p w14:paraId="790E66D1" w14:textId="77777777" w:rsidR="00314035" w:rsidRPr="00314035" w:rsidRDefault="00314035" w:rsidP="00314035">
      <w:pPr>
        <w:rPr>
          <w:rFonts w:cs="Arial"/>
          <w:szCs w:val="20"/>
        </w:rPr>
      </w:pPr>
    </w:p>
    <w:p w14:paraId="47A4FF47" w14:textId="7F415377" w:rsidR="00C40385" w:rsidRPr="005E6D91" w:rsidRDefault="004F2077" w:rsidP="00AD0F30">
      <w:pPr>
        <w:rPr>
          <w:rFonts w:cs="Arial"/>
          <w:b/>
          <w:bCs/>
          <w:szCs w:val="20"/>
        </w:rPr>
      </w:pPr>
      <w:hyperlink r:id="rId10" w:history="1">
        <w:r w:rsidRPr="005E6D91">
          <w:rPr>
            <w:rStyle w:val="Hyperlink"/>
            <w:rFonts w:cs="Arial"/>
            <w:b/>
            <w:bCs/>
            <w:szCs w:val="20"/>
          </w:rPr>
          <w:t>Hetero- and cisnormativity-UK pharmacy education as</w:t>
        </w:r>
        <w:r w:rsidRPr="005E6D91">
          <w:rPr>
            <w:rStyle w:val="Hyperlink"/>
            <w:rFonts w:cs="Arial"/>
            <w:b/>
            <w:bCs/>
            <w:szCs w:val="20"/>
          </w:rPr>
          <w:t xml:space="preserve"> </w:t>
        </w:r>
        <w:r w:rsidRPr="005E6D91">
          <w:rPr>
            <w:rStyle w:val="Hyperlink"/>
            <w:rFonts w:cs="Arial"/>
            <w:b/>
            <w:bCs/>
            <w:szCs w:val="20"/>
          </w:rPr>
          <w:t>a queer opponent</w:t>
        </w:r>
      </w:hyperlink>
      <w:r w:rsidRPr="005E6D91">
        <w:rPr>
          <w:rFonts w:cs="Arial"/>
          <w:b/>
          <w:bCs/>
          <w:szCs w:val="20"/>
        </w:rPr>
        <w:t xml:space="preserve"> (Mawdsley, A., and Willis, S.C.</w:t>
      </w:r>
      <w:r w:rsidR="005E6D91" w:rsidRPr="005E6D91">
        <w:rPr>
          <w:rFonts w:cs="Arial"/>
          <w:b/>
          <w:bCs/>
          <w:szCs w:val="20"/>
        </w:rPr>
        <w:t>,</w:t>
      </w:r>
      <w:r w:rsidRPr="005E6D91">
        <w:rPr>
          <w:rFonts w:cs="Arial"/>
          <w:b/>
          <w:bCs/>
          <w:szCs w:val="20"/>
        </w:rPr>
        <w:t xml:space="preserve"> 2023)</w:t>
      </w:r>
    </w:p>
    <w:p w14:paraId="419A720F" w14:textId="7C60E487" w:rsidR="00C40385" w:rsidRDefault="004F2077" w:rsidP="00445276">
      <w:pPr>
        <w:pStyle w:val="ListParagraph"/>
        <w:numPr>
          <w:ilvl w:val="0"/>
          <w:numId w:val="5"/>
        </w:numPr>
        <w:rPr>
          <w:rFonts w:cs="Arial"/>
          <w:szCs w:val="20"/>
        </w:rPr>
      </w:pPr>
      <w:r w:rsidRPr="004F2077">
        <w:rPr>
          <w:rFonts w:cs="Arial"/>
          <w:szCs w:val="20"/>
        </w:rPr>
        <w:t xml:space="preserve">Sought to determine the extent of hetero/cisnormativity within UK pharmacy education </w:t>
      </w:r>
      <w:r>
        <w:rPr>
          <w:rFonts w:cs="Arial"/>
          <w:szCs w:val="20"/>
        </w:rPr>
        <w:t>and understand the problems this could create if preparing students for inclusive clinical practice.</w:t>
      </w:r>
    </w:p>
    <w:p w14:paraId="2E551809" w14:textId="52CF6D34" w:rsidR="004F2077" w:rsidRDefault="004F2077" w:rsidP="00445276">
      <w:pPr>
        <w:pStyle w:val="ListParagraph"/>
        <w:numPr>
          <w:ilvl w:val="0"/>
          <w:numId w:val="5"/>
        </w:numPr>
        <w:rPr>
          <w:rFonts w:cs="Arial"/>
          <w:szCs w:val="20"/>
        </w:rPr>
      </w:pPr>
      <w:r w:rsidRPr="004F2077">
        <w:rPr>
          <w:rFonts w:cs="Arial"/>
          <w:szCs w:val="20"/>
        </w:rPr>
        <w:t>Responses were received from 19 course leads and students from 25 MPharm programmes, representing varying completion rates.</w:t>
      </w:r>
    </w:p>
    <w:p w14:paraId="6EC375F6" w14:textId="4A3D43E0" w:rsidR="00070732" w:rsidRDefault="00070732" w:rsidP="00445276">
      <w:pPr>
        <w:pStyle w:val="ListParagraph"/>
        <w:numPr>
          <w:ilvl w:val="0"/>
          <w:numId w:val="5"/>
        </w:numPr>
        <w:rPr>
          <w:rFonts w:cs="Arial"/>
          <w:szCs w:val="20"/>
        </w:rPr>
      </w:pPr>
      <w:r>
        <w:rPr>
          <w:rFonts w:cs="Arial"/>
          <w:szCs w:val="20"/>
        </w:rPr>
        <w:t xml:space="preserve">The curriculum content notably lacked </w:t>
      </w:r>
      <w:r w:rsidRPr="00070732">
        <w:rPr>
          <w:rFonts w:cs="Arial"/>
          <w:szCs w:val="20"/>
        </w:rPr>
        <w:t xml:space="preserve">LGBTQIA+ </w:t>
      </w:r>
      <w:r>
        <w:rPr>
          <w:rFonts w:cs="Arial"/>
          <w:szCs w:val="20"/>
        </w:rPr>
        <w:t>representation</w:t>
      </w:r>
      <w:r w:rsidRPr="00070732">
        <w:rPr>
          <w:rFonts w:cs="Arial"/>
          <w:szCs w:val="20"/>
        </w:rPr>
        <w:t>, and curricula operate</w:t>
      </w:r>
      <w:r>
        <w:rPr>
          <w:rFonts w:cs="Arial"/>
          <w:szCs w:val="20"/>
        </w:rPr>
        <w:t>d</w:t>
      </w:r>
      <w:r w:rsidRPr="00070732">
        <w:rPr>
          <w:rFonts w:cs="Arial"/>
          <w:szCs w:val="20"/>
        </w:rPr>
        <w:t xml:space="preserve"> as hetero- and </w:t>
      </w:r>
      <w:proofErr w:type="spellStart"/>
      <w:r w:rsidRPr="00070732">
        <w:rPr>
          <w:rFonts w:cs="Arial"/>
          <w:szCs w:val="20"/>
        </w:rPr>
        <w:t>cisnormative</w:t>
      </w:r>
      <w:proofErr w:type="spellEnd"/>
      <w:r w:rsidRPr="00070732">
        <w:rPr>
          <w:rFonts w:cs="Arial"/>
          <w:szCs w:val="20"/>
        </w:rPr>
        <w:t xml:space="preserve">. LGBTQIA+ people and issues were not represented in case studies, and there was </w:t>
      </w:r>
      <w:proofErr w:type="gramStart"/>
      <w:r w:rsidRPr="00070732">
        <w:rPr>
          <w:rFonts w:cs="Arial"/>
          <w:szCs w:val="20"/>
        </w:rPr>
        <w:t>little</w:t>
      </w:r>
      <w:proofErr w:type="gramEnd"/>
      <w:r w:rsidRPr="00070732">
        <w:rPr>
          <w:rFonts w:cs="Arial"/>
          <w:szCs w:val="20"/>
        </w:rPr>
        <w:t xml:space="preserve"> or no learning</w:t>
      </w:r>
      <w:r>
        <w:rPr>
          <w:rFonts w:cs="Arial"/>
          <w:szCs w:val="20"/>
        </w:rPr>
        <w:t xml:space="preserve"> focused on this underrepresented group. </w:t>
      </w:r>
    </w:p>
    <w:p w14:paraId="7FB6D7E5" w14:textId="16CC0FD5" w:rsidR="005E6D91" w:rsidRDefault="00070732" w:rsidP="004F2077">
      <w:pPr>
        <w:pStyle w:val="ListParagraph"/>
        <w:numPr>
          <w:ilvl w:val="0"/>
          <w:numId w:val="5"/>
        </w:numPr>
        <w:rPr>
          <w:rFonts w:cs="Arial"/>
          <w:szCs w:val="20"/>
        </w:rPr>
      </w:pPr>
      <w:r w:rsidRPr="00070732">
        <w:rPr>
          <w:rFonts w:cs="Arial"/>
          <w:szCs w:val="20"/>
        </w:rPr>
        <w:t xml:space="preserve">Both educator and student data </w:t>
      </w:r>
      <w:r>
        <w:rPr>
          <w:rFonts w:cs="Arial"/>
          <w:szCs w:val="20"/>
        </w:rPr>
        <w:t xml:space="preserve">collected in this study </w:t>
      </w:r>
      <w:r w:rsidRPr="00070732">
        <w:rPr>
          <w:rFonts w:cs="Arial"/>
          <w:szCs w:val="20"/>
        </w:rPr>
        <w:t>suggest</w:t>
      </w:r>
      <w:r>
        <w:rPr>
          <w:rFonts w:cs="Arial"/>
          <w:szCs w:val="20"/>
        </w:rPr>
        <w:t>s</w:t>
      </w:r>
      <w:r w:rsidRPr="00070732">
        <w:rPr>
          <w:rFonts w:cs="Arial"/>
          <w:szCs w:val="20"/>
        </w:rPr>
        <w:t xml:space="preserve"> that </w:t>
      </w:r>
      <w:r>
        <w:rPr>
          <w:rFonts w:cs="Arial"/>
          <w:szCs w:val="20"/>
        </w:rPr>
        <w:t xml:space="preserve">current MPharm curricula </w:t>
      </w:r>
      <w:r w:rsidRPr="00070732">
        <w:rPr>
          <w:rFonts w:cs="Arial"/>
          <w:szCs w:val="20"/>
        </w:rPr>
        <w:t xml:space="preserve"> fails to prepare </w:t>
      </w:r>
      <w:r>
        <w:rPr>
          <w:rFonts w:cs="Arial"/>
          <w:szCs w:val="20"/>
        </w:rPr>
        <w:t>future pharmacists</w:t>
      </w:r>
      <w:r w:rsidRPr="00070732">
        <w:rPr>
          <w:rFonts w:cs="Arial"/>
          <w:szCs w:val="20"/>
        </w:rPr>
        <w:t xml:space="preserve"> to </w:t>
      </w:r>
      <w:r>
        <w:rPr>
          <w:rFonts w:cs="Arial"/>
          <w:szCs w:val="20"/>
        </w:rPr>
        <w:t xml:space="preserve">effectively </w:t>
      </w:r>
      <w:r w:rsidRPr="00070732">
        <w:rPr>
          <w:rFonts w:cs="Arial"/>
          <w:szCs w:val="20"/>
        </w:rPr>
        <w:t>care for LGBTQI+ people</w:t>
      </w:r>
      <w:r>
        <w:rPr>
          <w:rFonts w:cs="Arial"/>
          <w:szCs w:val="20"/>
        </w:rPr>
        <w:t>. This will likely perpetuate existing inequities LGBTQIA+ individuals experience when accessing care.</w:t>
      </w:r>
    </w:p>
    <w:p w14:paraId="56F3FDCF" w14:textId="77777777" w:rsidR="00314035" w:rsidRPr="00314035" w:rsidRDefault="00314035" w:rsidP="00314035">
      <w:pPr>
        <w:rPr>
          <w:rFonts w:cs="Arial"/>
          <w:szCs w:val="20"/>
        </w:rPr>
      </w:pPr>
    </w:p>
    <w:p w14:paraId="66491A47" w14:textId="714ABDF5" w:rsidR="005E6D91" w:rsidRPr="005E6D91" w:rsidRDefault="005E6D91" w:rsidP="005E6D91">
      <w:pPr>
        <w:rPr>
          <w:rFonts w:cs="Arial"/>
          <w:b/>
          <w:bCs/>
          <w:szCs w:val="20"/>
        </w:rPr>
      </w:pPr>
      <w:hyperlink r:id="rId11" w:history="1">
        <w:r w:rsidRPr="005E6D91">
          <w:rPr>
            <w:rStyle w:val="Hyperlink"/>
            <w:rFonts w:cs="Arial"/>
            <w:b/>
            <w:bCs/>
            <w:szCs w:val="20"/>
          </w:rPr>
          <w:t>Improving Pharmacy Students’ Clinical Knowledge on Providing Care fo</w:t>
        </w:r>
        <w:r w:rsidRPr="005E6D91">
          <w:rPr>
            <w:rStyle w:val="Hyperlink"/>
            <w:rFonts w:cs="Arial"/>
            <w:b/>
            <w:bCs/>
            <w:szCs w:val="20"/>
          </w:rPr>
          <w:t>r</w:t>
        </w:r>
        <w:r w:rsidRPr="005E6D91">
          <w:rPr>
            <w:rStyle w:val="Hyperlink"/>
            <w:rFonts w:cs="Arial"/>
            <w:b/>
            <w:bCs/>
            <w:szCs w:val="20"/>
          </w:rPr>
          <w:t xml:space="preserve"> Patients Belonging to the LGBTQ+ Community</w:t>
        </w:r>
      </w:hyperlink>
      <w:r>
        <w:rPr>
          <w:rFonts w:cs="Arial"/>
          <w:b/>
          <w:bCs/>
          <w:szCs w:val="20"/>
        </w:rPr>
        <w:t xml:space="preserve"> (Melton, T.C., et al., 2022)</w:t>
      </w:r>
    </w:p>
    <w:p w14:paraId="0B9FFF16" w14:textId="77777777" w:rsidR="00A132CA" w:rsidRDefault="005E6D91" w:rsidP="005E6D91">
      <w:pPr>
        <w:pStyle w:val="ListParagraph"/>
        <w:numPr>
          <w:ilvl w:val="0"/>
          <w:numId w:val="5"/>
        </w:numPr>
        <w:rPr>
          <w:rFonts w:cs="Arial"/>
          <w:szCs w:val="20"/>
        </w:rPr>
      </w:pPr>
      <w:r w:rsidRPr="005E6D91">
        <w:rPr>
          <w:rFonts w:cs="Arial"/>
          <w:szCs w:val="20"/>
        </w:rPr>
        <w:t>A 12-question survey administered to 191 pharmacy students in their first professional year after engaging in a learning activity focusing providing care to the LGBTQ+ community</w:t>
      </w:r>
      <w:r>
        <w:rPr>
          <w:rFonts w:cs="Arial"/>
          <w:szCs w:val="20"/>
        </w:rPr>
        <w:t xml:space="preserve">. </w:t>
      </w:r>
    </w:p>
    <w:p w14:paraId="59BF3BDB" w14:textId="6ABA6420" w:rsidR="00070732" w:rsidRDefault="005E6D91" w:rsidP="005E6D91">
      <w:pPr>
        <w:pStyle w:val="ListParagraph"/>
        <w:numPr>
          <w:ilvl w:val="0"/>
          <w:numId w:val="5"/>
        </w:numPr>
        <w:rPr>
          <w:rFonts w:cs="Arial"/>
          <w:szCs w:val="20"/>
        </w:rPr>
      </w:pPr>
      <w:r>
        <w:rPr>
          <w:rFonts w:cs="Arial"/>
          <w:szCs w:val="20"/>
        </w:rPr>
        <w:t xml:space="preserve">A total of </w:t>
      </w:r>
      <w:r w:rsidRPr="005E6D91">
        <w:rPr>
          <w:rFonts w:cs="Arial"/>
          <w:szCs w:val="20"/>
        </w:rPr>
        <w:t>183 usable responses were received</w:t>
      </w:r>
      <w:r>
        <w:rPr>
          <w:rFonts w:cs="Arial"/>
          <w:szCs w:val="20"/>
        </w:rPr>
        <w:t>.</w:t>
      </w:r>
    </w:p>
    <w:p w14:paraId="65FA0886" w14:textId="4FD0E5F6" w:rsidR="005E6D91" w:rsidRPr="000E6FC2" w:rsidRDefault="000E6FC2" w:rsidP="000E6FC2">
      <w:pPr>
        <w:rPr>
          <w:rFonts w:cs="Arial"/>
          <w:i/>
          <w:iCs/>
          <w:sz w:val="16"/>
          <w:szCs w:val="16"/>
        </w:rPr>
      </w:pPr>
      <w:r w:rsidRPr="000E6FC2">
        <w:rPr>
          <w:rFonts w:cs="Arial"/>
          <w:i/>
          <w:iCs/>
          <w:sz w:val="16"/>
          <w:szCs w:val="16"/>
        </w:rPr>
        <w:t xml:space="preserve">Table 2: </w:t>
      </w:r>
      <w:r w:rsidR="005E6D91" w:rsidRPr="000E6FC2">
        <w:rPr>
          <w:rFonts w:cs="Arial"/>
          <w:i/>
          <w:iCs/>
          <w:sz w:val="16"/>
          <w:szCs w:val="16"/>
        </w:rPr>
        <w:t xml:space="preserve">Pre vs. post-learning activity </w:t>
      </w:r>
      <w:r w:rsidR="00A132CA">
        <w:rPr>
          <w:rFonts w:cs="Arial"/>
          <w:i/>
          <w:iCs/>
          <w:sz w:val="16"/>
          <w:szCs w:val="16"/>
        </w:rPr>
        <w:t xml:space="preserve">survey </w:t>
      </w:r>
      <w:r w:rsidRPr="000E6FC2">
        <w:rPr>
          <w:rFonts w:cs="Arial"/>
          <w:i/>
          <w:iCs/>
          <w:sz w:val="16"/>
          <w:szCs w:val="16"/>
        </w:rPr>
        <w:t>results</w:t>
      </w:r>
    </w:p>
    <w:tbl>
      <w:tblPr>
        <w:tblW w:w="9920" w:type="dxa"/>
        <w:tblCellSpacing w:w="15" w:type="dxa"/>
        <w:tblBorders>
          <w:top w:val="single" w:sz="2" w:space="0" w:color="DDDDDD"/>
          <w:left w:val="single" w:sz="2" w:space="0" w:color="DDDDDD"/>
          <w:bottom w:val="single" w:sz="2" w:space="0" w:color="DDDDDD"/>
          <w:right w:val="single" w:sz="2" w:space="0" w:color="DDDDDD"/>
        </w:tblBorders>
        <w:shd w:val="clear" w:color="auto" w:fill="FFFFFF"/>
        <w:tblCellMar>
          <w:top w:w="15" w:type="dxa"/>
          <w:left w:w="15" w:type="dxa"/>
          <w:bottom w:w="15" w:type="dxa"/>
          <w:right w:w="15" w:type="dxa"/>
        </w:tblCellMar>
        <w:tblLook w:val="0400" w:firstRow="0" w:lastRow="0" w:firstColumn="0" w:lastColumn="0" w:noHBand="0" w:noVBand="1"/>
      </w:tblPr>
      <w:tblGrid>
        <w:gridCol w:w="4817"/>
        <w:gridCol w:w="1984"/>
        <w:gridCol w:w="1560"/>
        <w:gridCol w:w="1559"/>
      </w:tblGrid>
      <w:tr w:rsidR="00A132CA" w:rsidRPr="00751BF4" w14:paraId="7FC19328" w14:textId="77777777" w:rsidTr="00A132CA">
        <w:trPr>
          <w:trHeight w:val="164"/>
          <w:tblCellSpacing w:w="15" w:type="dxa"/>
        </w:trPr>
        <w:tc>
          <w:tcPr>
            <w:tcW w:w="4772" w:type="dxa"/>
            <w:tcBorders>
              <w:top w:val="single" w:sz="6" w:space="0" w:color="auto"/>
              <w:bottom w:val="single" w:sz="6" w:space="0" w:color="auto"/>
            </w:tcBorders>
            <w:shd w:val="clear" w:color="auto" w:fill="FFFFFF"/>
            <w:tcMar>
              <w:top w:w="150" w:type="dxa"/>
              <w:left w:w="57" w:type="dxa"/>
              <w:bottom w:w="0" w:type="dxa"/>
              <w:right w:w="57" w:type="dxa"/>
            </w:tcMar>
            <w:vAlign w:val="center"/>
            <w:hideMark/>
          </w:tcPr>
          <w:p w14:paraId="711B80A7" w14:textId="77777777" w:rsidR="00A132CA" w:rsidRPr="00751BF4" w:rsidRDefault="00A132CA" w:rsidP="00646FB8">
            <w:pPr>
              <w:rPr>
                <w:rFonts w:cs="Arial"/>
                <w:b/>
                <w:bCs/>
                <w:sz w:val="18"/>
                <w:szCs w:val="18"/>
              </w:rPr>
            </w:pPr>
            <w:r w:rsidRPr="00751BF4">
              <w:rPr>
                <w:rFonts w:cs="Arial"/>
                <w:b/>
                <w:bCs/>
                <w:sz w:val="18"/>
                <w:szCs w:val="18"/>
              </w:rPr>
              <w:t>Question</w:t>
            </w:r>
          </w:p>
        </w:tc>
        <w:tc>
          <w:tcPr>
            <w:tcW w:w="1954" w:type="dxa"/>
            <w:tcBorders>
              <w:top w:val="single" w:sz="6" w:space="0" w:color="auto"/>
              <w:bottom w:val="single" w:sz="6" w:space="0" w:color="auto"/>
            </w:tcBorders>
            <w:shd w:val="clear" w:color="auto" w:fill="FFFFFF"/>
            <w:tcMar>
              <w:top w:w="150" w:type="dxa"/>
              <w:left w:w="57" w:type="dxa"/>
              <w:bottom w:w="0" w:type="dxa"/>
              <w:right w:w="57" w:type="dxa"/>
            </w:tcMar>
            <w:vAlign w:val="center"/>
            <w:hideMark/>
          </w:tcPr>
          <w:p w14:paraId="3789FB50" w14:textId="77777777" w:rsidR="00A132CA" w:rsidRPr="00751BF4" w:rsidRDefault="00A132CA" w:rsidP="00646FB8">
            <w:pPr>
              <w:rPr>
                <w:rFonts w:cs="Arial"/>
                <w:b/>
                <w:bCs/>
                <w:sz w:val="18"/>
                <w:szCs w:val="18"/>
              </w:rPr>
            </w:pPr>
            <w:r w:rsidRPr="00751BF4">
              <w:rPr>
                <w:rFonts w:cs="Arial"/>
                <w:b/>
                <w:bCs/>
                <w:sz w:val="18"/>
                <w:szCs w:val="18"/>
              </w:rPr>
              <w:t>Knowledge Category</w:t>
            </w:r>
          </w:p>
        </w:tc>
        <w:tc>
          <w:tcPr>
            <w:tcW w:w="1530" w:type="dxa"/>
            <w:tcBorders>
              <w:top w:val="single" w:sz="6" w:space="0" w:color="auto"/>
              <w:bottom w:val="single" w:sz="6" w:space="0" w:color="auto"/>
            </w:tcBorders>
            <w:shd w:val="clear" w:color="auto" w:fill="FFFFFF"/>
            <w:tcMar>
              <w:top w:w="150" w:type="dxa"/>
              <w:left w:w="57" w:type="dxa"/>
              <w:bottom w:w="0" w:type="dxa"/>
              <w:right w:w="57" w:type="dxa"/>
            </w:tcMar>
            <w:vAlign w:val="center"/>
            <w:hideMark/>
          </w:tcPr>
          <w:p w14:paraId="437B02D4" w14:textId="77777777" w:rsidR="00A132CA" w:rsidRPr="00751BF4" w:rsidRDefault="00A132CA" w:rsidP="00646FB8">
            <w:pPr>
              <w:rPr>
                <w:rFonts w:cs="Arial"/>
                <w:b/>
                <w:bCs/>
                <w:sz w:val="18"/>
                <w:szCs w:val="18"/>
              </w:rPr>
            </w:pPr>
            <w:r w:rsidRPr="00751BF4">
              <w:rPr>
                <w:rFonts w:cs="Arial"/>
                <w:b/>
                <w:bCs/>
                <w:sz w:val="18"/>
                <w:szCs w:val="18"/>
              </w:rPr>
              <w:t>Pre-Test Correct,</w:t>
            </w:r>
            <w:r w:rsidRPr="00751BF4">
              <w:rPr>
                <w:rFonts w:cs="Arial"/>
                <w:b/>
                <w:bCs/>
                <w:sz w:val="18"/>
                <w:szCs w:val="18"/>
              </w:rPr>
              <w:br/>
              <w:t>n (%)</w:t>
            </w:r>
          </w:p>
        </w:tc>
        <w:tc>
          <w:tcPr>
            <w:tcW w:w="1514" w:type="dxa"/>
            <w:tcBorders>
              <w:top w:val="single" w:sz="6" w:space="0" w:color="auto"/>
              <w:bottom w:val="single" w:sz="6" w:space="0" w:color="auto"/>
            </w:tcBorders>
            <w:shd w:val="clear" w:color="auto" w:fill="FFFFFF"/>
            <w:tcMar>
              <w:top w:w="150" w:type="dxa"/>
              <w:left w:w="57" w:type="dxa"/>
              <w:bottom w:w="0" w:type="dxa"/>
              <w:right w:w="57" w:type="dxa"/>
            </w:tcMar>
            <w:vAlign w:val="center"/>
            <w:hideMark/>
          </w:tcPr>
          <w:p w14:paraId="612865E4" w14:textId="77777777" w:rsidR="00A132CA" w:rsidRPr="00751BF4" w:rsidRDefault="00A132CA" w:rsidP="00646FB8">
            <w:pPr>
              <w:rPr>
                <w:rFonts w:cs="Arial"/>
                <w:b/>
                <w:bCs/>
                <w:sz w:val="18"/>
                <w:szCs w:val="18"/>
              </w:rPr>
            </w:pPr>
            <w:r w:rsidRPr="00751BF4">
              <w:rPr>
                <w:rFonts w:cs="Arial"/>
                <w:b/>
                <w:bCs/>
                <w:sz w:val="18"/>
                <w:szCs w:val="18"/>
              </w:rPr>
              <w:t>Post-Test Correct,</w:t>
            </w:r>
            <w:r w:rsidRPr="00751BF4">
              <w:rPr>
                <w:rFonts w:cs="Arial"/>
                <w:b/>
                <w:bCs/>
                <w:sz w:val="18"/>
                <w:szCs w:val="18"/>
              </w:rPr>
              <w:br/>
              <w:t>n (%)</w:t>
            </w:r>
          </w:p>
        </w:tc>
      </w:tr>
      <w:tr w:rsidR="00A132CA" w:rsidRPr="00751BF4" w14:paraId="3D6D1B35" w14:textId="77777777" w:rsidTr="00A132CA">
        <w:trPr>
          <w:trHeight w:val="956"/>
          <w:tblCellSpacing w:w="15" w:type="dxa"/>
        </w:trPr>
        <w:tc>
          <w:tcPr>
            <w:tcW w:w="4772" w:type="dxa"/>
            <w:tcBorders>
              <w:bottom w:val="single" w:sz="6" w:space="0" w:color="auto"/>
            </w:tcBorders>
            <w:shd w:val="clear" w:color="auto" w:fill="FFFFFF"/>
            <w:tcMar>
              <w:top w:w="75" w:type="dxa"/>
              <w:left w:w="57" w:type="dxa"/>
              <w:bottom w:w="0" w:type="dxa"/>
              <w:right w:w="57" w:type="dxa"/>
            </w:tcMar>
            <w:vAlign w:val="center"/>
            <w:hideMark/>
          </w:tcPr>
          <w:p w14:paraId="403758D9" w14:textId="77777777" w:rsidR="00A132CA" w:rsidRPr="00751BF4" w:rsidRDefault="00A132CA" w:rsidP="00646FB8">
            <w:pPr>
              <w:rPr>
                <w:rFonts w:cs="Arial"/>
                <w:sz w:val="18"/>
                <w:szCs w:val="18"/>
              </w:rPr>
            </w:pPr>
            <w:r w:rsidRPr="00751BF4">
              <w:rPr>
                <w:rFonts w:cs="Arial"/>
                <w:sz w:val="18"/>
                <w:szCs w:val="18"/>
              </w:rPr>
              <w:t xml:space="preserve">1. When </w:t>
            </w:r>
            <w:r w:rsidRPr="00A132CA">
              <w:rPr>
                <w:rFonts w:cs="Arial"/>
                <w:sz w:val="18"/>
                <w:szCs w:val="18"/>
              </w:rPr>
              <w:t>counselling</w:t>
            </w:r>
            <w:r w:rsidRPr="00751BF4">
              <w:rPr>
                <w:rFonts w:cs="Arial"/>
                <w:sz w:val="18"/>
                <w:szCs w:val="18"/>
              </w:rPr>
              <w:t xml:space="preserve"> a transgender patient, if</w:t>
            </w:r>
            <w:r w:rsidRPr="00751BF4">
              <w:rPr>
                <w:rFonts w:cs="Arial"/>
                <w:sz w:val="18"/>
                <w:szCs w:val="18"/>
              </w:rPr>
              <w:br/>
              <w:t>you are unsure about which pronouns they use (he/him/his, she/her/hers, they/them/ theirs,</w:t>
            </w:r>
            <w:r w:rsidRPr="00751BF4">
              <w:rPr>
                <w:rFonts w:cs="Arial"/>
                <w:sz w:val="18"/>
                <w:szCs w:val="18"/>
              </w:rPr>
              <w:br/>
              <w:t>etc.), what should you do?</w:t>
            </w:r>
          </w:p>
        </w:tc>
        <w:tc>
          <w:tcPr>
            <w:tcW w:w="1954" w:type="dxa"/>
            <w:tcBorders>
              <w:bottom w:val="single" w:sz="6" w:space="0" w:color="auto"/>
            </w:tcBorders>
            <w:shd w:val="clear" w:color="auto" w:fill="FFFFFF"/>
            <w:tcMar>
              <w:top w:w="75" w:type="dxa"/>
              <w:left w:w="57" w:type="dxa"/>
              <w:bottom w:w="0" w:type="dxa"/>
              <w:right w:w="57" w:type="dxa"/>
            </w:tcMar>
            <w:vAlign w:val="center"/>
            <w:hideMark/>
          </w:tcPr>
          <w:p w14:paraId="2366F429" w14:textId="77777777" w:rsidR="00A132CA" w:rsidRPr="00751BF4" w:rsidRDefault="00A132CA" w:rsidP="00646FB8">
            <w:pPr>
              <w:rPr>
                <w:rFonts w:cs="Arial"/>
                <w:sz w:val="18"/>
                <w:szCs w:val="18"/>
              </w:rPr>
            </w:pPr>
            <w:r w:rsidRPr="00751BF4">
              <w:rPr>
                <w:rFonts w:cs="Arial"/>
                <w:sz w:val="18"/>
                <w:szCs w:val="18"/>
              </w:rPr>
              <w:t>Pronoun use</w:t>
            </w:r>
          </w:p>
        </w:tc>
        <w:tc>
          <w:tcPr>
            <w:tcW w:w="1530" w:type="dxa"/>
            <w:tcBorders>
              <w:bottom w:val="single" w:sz="6" w:space="0" w:color="auto"/>
            </w:tcBorders>
            <w:shd w:val="clear" w:color="auto" w:fill="FFFFFF"/>
            <w:tcMar>
              <w:top w:w="75" w:type="dxa"/>
              <w:left w:w="57" w:type="dxa"/>
              <w:bottom w:w="0" w:type="dxa"/>
              <w:right w:w="57" w:type="dxa"/>
            </w:tcMar>
            <w:vAlign w:val="center"/>
            <w:hideMark/>
          </w:tcPr>
          <w:p w14:paraId="3FB19F4A" w14:textId="77777777" w:rsidR="00A132CA" w:rsidRPr="00751BF4" w:rsidRDefault="00A132CA" w:rsidP="00646FB8">
            <w:pPr>
              <w:rPr>
                <w:rFonts w:cs="Arial"/>
                <w:sz w:val="18"/>
                <w:szCs w:val="18"/>
              </w:rPr>
            </w:pPr>
            <w:r w:rsidRPr="00751BF4">
              <w:rPr>
                <w:rFonts w:cs="Arial"/>
                <w:sz w:val="18"/>
                <w:szCs w:val="18"/>
              </w:rPr>
              <w:t>126</w:t>
            </w:r>
            <w:r w:rsidRPr="00751BF4">
              <w:rPr>
                <w:rFonts w:cs="Arial"/>
                <w:sz w:val="18"/>
                <w:szCs w:val="18"/>
              </w:rPr>
              <w:br/>
              <w:t>(69.2%)</w:t>
            </w:r>
          </w:p>
        </w:tc>
        <w:tc>
          <w:tcPr>
            <w:tcW w:w="1514" w:type="dxa"/>
            <w:tcBorders>
              <w:bottom w:val="single" w:sz="6" w:space="0" w:color="auto"/>
            </w:tcBorders>
            <w:shd w:val="clear" w:color="auto" w:fill="FFFFFF"/>
            <w:tcMar>
              <w:top w:w="75" w:type="dxa"/>
              <w:left w:w="57" w:type="dxa"/>
              <w:bottom w:w="0" w:type="dxa"/>
              <w:right w:w="57" w:type="dxa"/>
            </w:tcMar>
            <w:vAlign w:val="center"/>
            <w:hideMark/>
          </w:tcPr>
          <w:p w14:paraId="1C389DEC" w14:textId="77777777" w:rsidR="00A132CA" w:rsidRPr="00751BF4" w:rsidRDefault="00A132CA" w:rsidP="00646FB8">
            <w:pPr>
              <w:rPr>
                <w:rFonts w:cs="Arial"/>
                <w:sz w:val="18"/>
                <w:szCs w:val="18"/>
              </w:rPr>
            </w:pPr>
            <w:r w:rsidRPr="00751BF4">
              <w:rPr>
                <w:rFonts w:cs="Arial"/>
                <w:sz w:val="18"/>
                <w:szCs w:val="18"/>
              </w:rPr>
              <w:t>172</w:t>
            </w:r>
            <w:r w:rsidRPr="00751BF4">
              <w:rPr>
                <w:rFonts w:cs="Arial"/>
                <w:sz w:val="18"/>
                <w:szCs w:val="18"/>
              </w:rPr>
              <w:br/>
              <w:t>(94.5%)</w:t>
            </w:r>
          </w:p>
        </w:tc>
      </w:tr>
      <w:tr w:rsidR="00A132CA" w:rsidRPr="00751BF4" w14:paraId="67CF7780" w14:textId="77777777" w:rsidTr="00A132CA">
        <w:trPr>
          <w:trHeight w:val="1775"/>
          <w:tblCellSpacing w:w="15" w:type="dxa"/>
        </w:trPr>
        <w:tc>
          <w:tcPr>
            <w:tcW w:w="4772" w:type="dxa"/>
            <w:tcBorders>
              <w:bottom w:val="single" w:sz="6" w:space="0" w:color="auto"/>
            </w:tcBorders>
            <w:shd w:val="clear" w:color="auto" w:fill="F9F9F9"/>
            <w:tcMar>
              <w:top w:w="75" w:type="dxa"/>
              <w:left w:w="57" w:type="dxa"/>
              <w:bottom w:w="0" w:type="dxa"/>
              <w:right w:w="57" w:type="dxa"/>
            </w:tcMar>
            <w:vAlign w:val="center"/>
            <w:hideMark/>
          </w:tcPr>
          <w:p w14:paraId="1DB9A75C" w14:textId="77777777" w:rsidR="00A132CA" w:rsidRPr="00751BF4" w:rsidRDefault="00A132CA" w:rsidP="00646FB8">
            <w:pPr>
              <w:rPr>
                <w:rFonts w:cs="Arial"/>
                <w:sz w:val="18"/>
                <w:szCs w:val="18"/>
              </w:rPr>
            </w:pPr>
            <w:r w:rsidRPr="00751BF4">
              <w:rPr>
                <w:rFonts w:cs="Arial"/>
                <w:sz w:val="18"/>
                <w:szCs w:val="18"/>
              </w:rPr>
              <w:lastRenderedPageBreak/>
              <w:t>2. A transgender man approaches you at the</w:t>
            </w:r>
            <w:r w:rsidRPr="00751BF4">
              <w:rPr>
                <w:rFonts w:cs="Arial"/>
                <w:sz w:val="18"/>
                <w:szCs w:val="18"/>
              </w:rPr>
              <w:br/>
              <w:t>pharmacy and asks you what needles he needs to use to inject his testosterone. You</w:t>
            </w:r>
            <w:r w:rsidRPr="00751BF4">
              <w:rPr>
                <w:rFonts w:cs="Arial"/>
                <w:sz w:val="18"/>
                <w:szCs w:val="18"/>
              </w:rPr>
              <w:br/>
              <w:t>check the EHR to see by which route his doctor wrote to inject the testosterone. The prescription reads “Testosterone cypionate, inject into the muscle every week as directed.” What should you counsel him to do when injecting?</w:t>
            </w:r>
          </w:p>
        </w:tc>
        <w:tc>
          <w:tcPr>
            <w:tcW w:w="1954" w:type="dxa"/>
            <w:tcBorders>
              <w:bottom w:val="single" w:sz="6" w:space="0" w:color="auto"/>
            </w:tcBorders>
            <w:shd w:val="clear" w:color="auto" w:fill="F9F9F9"/>
            <w:tcMar>
              <w:top w:w="75" w:type="dxa"/>
              <w:left w:w="57" w:type="dxa"/>
              <w:bottom w:w="0" w:type="dxa"/>
              <w:right w:w="57" w:type="dxa"/>
            </w:tcMar>
            <w:vAlign w:val="center"/>
            <w:hideMark/>
          </w:tcPr>
          <w:p w14:paraId="61E9785D" w14:textId="6B7DEFBD" w:rsidR="00A132CA" w:rsidRPr="00751BF4" w:rsidRDefault="00A132CA" w:rsidP="00646FB8">
            <w:pPr>
              <w:rPr>
                <w:rFonts w:cs="Arial"/>
                <w:sz w:val="18"/>
                <w:szCs w:val="18"/>
              </w:rPr>
            </w:pPr>
            <w:r w:rsidRPr="00751BF4">
              <w:rPr>
                <w:rFonts w:cs="Arial"/>
                <w:sz w:val="18"/>
                <w:szCs w:val="18"/>
              </w:rPr>
              <w:t xml:space="preserve">HT </w:t>
            </w:r>
            <w:r w:rsidRPr="00A132CA">
              <w:rPr>
                <w:rFonts w:cs="Arial"/>
                <w:sz w:val="18"/>
                <w:szCs w:val="18"/>
              </w:rPr>
              <w:t>Counselling</w:t>
            </w:r>
          </w:p>
        </w:tc>
        <w:tc>
          <w:tcPr>
            <w:tcW w:w="1530" w:type="dxa"/>
            <w:tcBorders>
              <w:bottom w:val="single" w:sz="6" w:space="0" w:color="auto"/>
            </w:tcBorders>
            <w:shd w:val="clear" w:color="auto" w:fill="F9F9F9"/>
            <w:tcMar>
              <w:top w:w="75" w:type="dxa"/>
              <w:left w:w="57" w:type="dxa"/>
              <w:bottom w:w="0" w:type="dxa"/>
              <w:right w:w="57" w:type="dxa"/>
            </w:tcMar>
            <w:vAlign w:val="center"/>
            <w:hideMark/>
          </w:tcPr>
          <w:p w14:paraId="54BB721C" w14:textId="77777777" w:rsidR="00A132CA" w:rsidRPr="00751BF4" w:rsidRDefault="00A132CA" w:rsidP="00646FB8">
            <w:pPr>
              <w:rPr>
                <w:rFonts w:cs="Arial"/>
                <w:sz w:val="18"/>
                <w:szCs w:val="18"/>
              </w:rPr>
            </w:pPr>
            <w:r w:rsidRPr="00751BF4">
              <w:rPr>
                <w:rFonts w:cs="Arial"/>
                <w:sz w:val="18"/>
                <w:szCs w:val="18"/>
              </w:rPr>
              <w:t>102</w:t>
            </w:r>
            <w:r w:rsidRPr="00751BF4">
              <w:rPr>
                <w:rFonts w:cs="Arial"/>
                <w:sz w:val="18"/>
                <w:szCs w:val="18"/>
              </w:rPr>
              <w:br/>
              <w:t>(55.7%)</w:t>
            </w:r>
          </w:p>
        </w:tc>
        <w:tc>
          <w:tcPr>
            <w:tcW w:w="1514" w:type="dxa"/>
            <w:tcBorders>
              <w:bottom w:val="single" w:sz="6" w:space="0" w:color="auto"/>
            </w:tcBorders>
            <w:shd w:val="clear" w:color="auto" w:fill="F9F9F9"/>
            <w:tcMar>
              <w:top w:w="75" w:type="dxa"/>
              <w:left w:w="57" w:type="dxa"/>
              <w:bottom w:w="0" w:type="dxa"/>
              <w:right w:w="57" w:type="dxa"/>
            </w:tcMar>
            <w:vAlign w:val="center"/>
            <w:hideMark/>
          </w:tcPr>
          <w:p w14:paraId="36156C59" w14:textId="77777777" w:rsidR="00A132CA" w:rsidRPr="00751BF4" w:rsidRDefault="00A132CA" w:rsidP="00646FB8">
            <w:pPr>
              <w:rPr>
                <w:rFonts w:cs="Arial"/>
                <w:sz w:val="18"/>
                <w:szCs w:val="18"/>
              </w:rPr>
            </w:pPr>
            <w:r w:rsidRPr="00751BF4">
              <w:rPr>
                <w:rFonts w:cs="Arial"/>
                <w:sz w:val="18"/>
                <w:szCs w:val="18"/>
              </w:rPr>
              <w:t>146</w:t>
            </w:r>
            <w:r w:rsidRPr="00751BF4">
              <w:rPr>
                <w:rFonts w:cs="Arial"/>
                <w:sz w:val="18"/>
                <w:szCs w:val="18"/>
              </w:rPr>
              <w:br/>
              <w:t>(80.2%)</w:t>
            </w:r>
          </w:p>
        </w:tc>
      </w:tr>
      <w:tr w:rsidR="00A132CA" w:rsidRPr="00751BF4" w14:paraId="0566B0DD" w14:textId="77777777" w:rsidTr="00A132CA">
        <w:trPr>
          <w:trHeight w:val="390"/>
          <w:tblCellSpacing w:w="15" w:type="dxa"/>
        </w:trPr>
        <w:tc>
          <w:tcPr>
            <w:tcW w:w="4772" w:type="dxa"/>
            <w:tcBorders>
              <w:bottom w:val="single" w:sz="6" w:space="0" w:color="auto"/>
            </w:tcBorders>
            <w:shd w:val="clear" w:color="auto" w:fill="FFFFFF"/>
            <w:tcMar>
              <w:top w:w="75" w:type="dxa"/>
              <w:left w:w="57" w:type="dxa"/>
              <w:bottom w:w="0" w:type="dxa"/>
              <w:right w:w="57" w:type="dxa"/>
            </w:tcMar>
            <w:vAlign w:val="center"/>
            <w:hideMark/>
          </w:tcPr>
          <w:p w14:paraId="1D28558D" w14:textId="77777777" w:rsidR="00A132CA" w:rsidRPr="00751BF4" w:rsidRDefault="00A132CA" w:rsidP="00646FB8">
            <w:pPr>
              <w:rPr>
                <w:rFonts w:cs="Arial"/>
                <w:sz w:val="18"/>
                <w:szCs w:val="18"/>
              </w:rPr>
            </w:pPr>
            <w:r w:rsidRPr="00751BF4">
              <w:rPr>
                <w:rFonts w:cs="Arial"/>
                <w:sz w:val="18"/>
                <w:szCs w:val="18"/>
              </w:rPr>
              <w:t>3. When giving a patient living with HIV</w:t>
            </w:r>
            <w:r w:rsidRPr="00751BF4">
              <w:rPr>
                <w:rFonts w:cs="Arial"/>
                <w:sz w:val="18"/>
                <w:szCs w:val="18"/>
              </w:rPr>
              <w:br/>
              <w:t>an immunization, what should you tell them?</w:t>
            </w:r>
          </w:p>
        </w:tc>
        <w:tc>
          <w:tcPr>
            <w:tcW w:w="1954" w:type="dxa"/>
            <w:tcBorders>
              <w:bottom w:val="single" w:sz="6" w:space="0" w:color="auto"/>
            </w:tcBorders>
            <w:shd w:val="clear" w:color="auto" w:fill="FFFFFF"/>
            <w:tcMar>
              <w:top w:w="75" w:type="dxa"/>
              <w:left w:w="57" w:type="dxa"/>
              <w:bottom w:w="0" w:type="dxa"/>
              <w:right w:w="57" w:type="dxa"/>
            </w:tcMar>
            <w:vAlign w:val="center"/>
            <w:hideMark/>
          </w:tcPr>
          <w:p w14:paraId="11E82A9E" w14:textId="77777777" w:rsidR="00A132CA" w:rsidRPr="00751BF4" w:rsidRDefault="00A132CA" w:rsidP="00646FB8">
            <w:pPr>
              <w:rPr>
                <w:rFonts w:cs="Arial"/>
                <w:sz w:val="18"/>
                <w:szCs w:val="18"/>
              </w:rPr>
            </w:pPr>
            <w:r w:rsidRPr="00751BF4">
              <w:rPr>
                <w:rFonts w:cs="Arial"/>
                <w:sz w:val="18"/>
                <w:szCs w:val="18"/>
              </w:rPr>
              <w:t>HIV and Immunization Best Practices</w:t>
            </w:r>
          </w:p>
        </w:tc>
        <w:tc>
          <w:tcPr>
            <w:tcW w:w="1530" w:type="dxa"/>
            <w:tcBorders>
              <w:bottom w:val="single" w:sz="6" w:space="0" w:color="auto"/>
            </w:tcBorders>
            <w:shd w:val="clear" w:color="auto" w:fill="FFFFFF"/>
            <w:tcMar>
              <w:top w:w="75" w:type="dxa"/>
              <w:left w:w="57" w:type="dxa"/>
              <w:bottom w:w="0" w:type="dxa"/>
              <w:right w:w="57" w:type="dxa"/>
            </w:tcMar>
            <w:vAlign w:val="center"/>
            <w:hideMark/>
          </w:tcPr>
          <w:p w14:paraId="12B7A593" w14:textId="77777777" w:rsidR="00A132CA" w:rsidRPr="00751BF4" w:rsidRDefault="00A132CA" w:rsidP="00646FB8">
            <w:pPr>
              <w:rPr>
                <w:rFonts w:cs="Arial"/>
                <w:sz w:val="18"/>
                <w:szCs w:val="18"/>
              </w:rPr>
            </w:pPr>
            <w:r w:rsidRPr="00751BF4">
              <w:rPr>
                <w:rFonts w:cs="Arial"/>
                <w:sz w:val="18"/>
                <w:szCs w:val="18"/>
              </w:rPr>
              <w:t>93</w:t>
            </w:r>
            <w:r w:rsidRPr="00751BF4">
              <w:rPr>
                <w:rFonts w:cs="Arial"/>
                <w:sz w:val="18"/>
                <w:szCs w:val="18"/>
              </w:rPr>
              <w:br/>
              <w:t>(50.8%)</w:t>
            </w:r>
          </w:p>
        </w:tc>
        <w:tc>
          <w:tcPr>
            <w:tcW w:w="1514" w:type="dxa"/>
            <w:tcBorders>
              <w:bottom w:val="single" w:sz="6" w:space="0" w:color="auto"/>
            </w:tcBorders>
            <w:shd w:val="clear" w:color="auto" w:fill="FFFFFF"/>
            <w:tcMar>
              <w:top w:w="75" w:type="dxa"/>
              <w:left w:w="57" w:type="dxa"/>
              <w:bottom w:w="0" w:type="dxa"/>
              <w:right w:w="57" w:type="dxa"/>
            </w:tcMar>
            <w:vAlign w:val="center"/>
            <w:hideMark/>
          </w:tcPr>
          <w:p w14:paraId="2A57B865" w14:textId="77777777" w:rsidR="00A132CA" w:rsidRPr="00751BF4" w:rsidRDefault="00A132CA" w:rsidP="00646FB8">
            <w:pPr>
              <w:rPr>
                <w:rFonts w:cs="Arial"/>
                <w:sz w:val="18"/>
                <w:szCs w:val="18"/>
              </w:rPr>
            </w:pPr>
            <w:r w:rsidRPr="00751BF4">
              <w:rPr>
                <w:rFonts w:cs="Arial"/>
                <w:sz w:val="18"/>
                <w:szCs w:val="18"/>
              </w:rPr>
              <w:t>160</w:t>
            </w:r>
            <w:r w:rsidRPr="00751BF4">
              <w:rPr>
                <w:rFonts w:cs="Arial"/>
                <w:sz w:val="18"/>
                <w:szCs w:val="18"/>
              </w:rPr>
              <w:br/>
              <w:t>(87.4%)</w:t>
            </w:r>
          </w:p>
        </w:tc>
      </w:tr>
      <w:tr w:rsidR="00A132CA" w:rsidRPr="00751BF4" w14:paraId="65F2793F" w14:textId="77777777" w:rsidTr="00A132CA">
        <w:trPr>
          <w:trHeight w:val="496"/>
          <w:tblCellSpacing w:w="15" w:type="dxa"/>
        </w:trPr>
        <w:tc>
          <w:tcPr>
            <w:tcW w:w="4772" w:type="dxa"/>
            <w:tcBorders>
              <w:bottom w:val="single" w:sz="6" w:space="0" w:color="auto"/>
            </w:tcBorders>
            <w:shd w:val="clear" w:color="auto" w:fill="F9F9F9"/>
            <w:tcMar>
              <w:top w:w="75" w:type="dxa"/>
              <w:left w:w="57" w:type="dxa"/>
              <w:bottom w:w="0" w:type="dxa"/>
              <w:right w:w="57" w:type="dxa"/>
            </w:tcMar>
            <w:vAlign w:val="center"/>
            <w:hideMark/>
          </w:tcPr>
          <w:p w14:paraId="4F9BBE04" w14:textId="0694E5EB" w:rsidR="00A132CA" w:rsidRPr="00751BF4" w:rsidRDefault="00A132CA" w:rsidP="00646FB8">
            <w:pPr>
              <w:rPr>
                <w:rFonts w:cs="Arial"/>
                <w:sz w:val="18"/>
                <w:szCs w:val="18"/>
              </w:rPr>
            </w:pPr>
            <w:r w:rsidRPr="00751BF4">
              <w:rPr>
                <w:rFonts w:cs="Arial"/>
                <w:sz w:val="18"/>
                <w:szCs w:val="18"/>
              </w:rPr>
              <w:t xml:space="preserve">4. When </w:t>
            </w:r>
            <w:r w:rsidRPr="00A132CA">
              <w:rPr>
                <w:rFonts w:cs="Arial"/>
                <w:sz w:val="18"/>
                <w:szCs w:val="18"/>
              </w:rPr>
              <w:t>counselling</w:t>
            </w:r>
            <w:r w:rsidRPr="00751BF4">
              <w:rPr>
                <w:rFonts w:cs="Arial"/>
                <w:sz w:val="18"/>
                <w:szCs w:val="18"/>
              </w:rPr>
              <w:t xml:space="preserve"> a patient on their</w:t>
            </w:r>
            <w:r w:rsidRPr="00751BF4">
              <w:rPr>
                <w:rFonts w:cs="Arial"/>
                <w:sz w:val="18"/>
                <w:szCs w:val="18"/>
              </w:rPr>
              <w:br/>
              <w:t>hormone therapies, which of the following are best practices?</w:t>
            </w:r>
          </w:p>
        </w:tc>
        <w:tc>
          <w:tcPr>
            <w:tcW w:w="1954" w:type="dxa"/>
            <w:tcBorders>
              <w:bottom w:val="single" w:sz="6" w:space="0" w:color="auto"/>
            </w:tcBorders>
            <w:shd w:val="clear" w:color="auto" w:fill="F9F9F9"/>
            <w:tcMar>
              <w:top w:w="75" w:type="dxa"/>
              <w:left w:w="57" w:type="dxa"/>
              <w:bottom w:w="0" w:type="dxa"/>
              <w:right w:w="57" w:type="dxa"/>
            </w:tcMar>
            <w:vAlign w:val="center"/>
            <w:hideMark/>
          </w:tcPr>
          <w:p w14:paraId="2AE8F773" w14:textId="429469DC" w:rsidR="00A132CA" w:rsidRPr="00751BF4" w:rsidRDefault="00A132CA" w:rsidP="00646FB8">
            <w:pPr>
              <w:rPr>
                <w:rFonts w:cs="Arial"/>
                <w:sz w:val="18"/>
                <w:szCs w:val="18"/>
              </w:rPr>
            </w:pPr>
            <w:r w:rsidRPr="00751BF4">
              <w:rPr>
                <w:rFonts w:cs="Arial"/>
                <w:sz w:val="18"/>
                <w:szCs w:val="18"/>
              </w:rPr>
              <w:t xml:space="preserve">HT </w:t>
            </w:r>
            <w:r w:rsidRPr="00A132CA">
              <w:rPr>
                <w:rFonts w:cs="Arial"/>
                <w:sz w:val="18"/>
                <w:szCs w:val="18"/>
              </w:rPr>
              <w:t>Counselling</w:t>
            </w:r>
          </w:p>
        </w:tc>
        <w:tc>
          <w:tcPr>
            <w:tcW w:w="1530" w:type="dxa"/>
            <w:tcBorders>
              <w:bottom w:val="single" w:sz="6" w:space="0" w:color="auto"/>
            </w:tcBorders>
            <w:shd w:val="clear" w:color="auto" w:fill="F9F9F9"/>
            <w:tcMar>
              <w:top w:w="75" w:type="dxa"/>
              <w:left w:w="57" w:type="dxa"/>
              <w:bottom w:w="0" w:type="dxa"/>
              <w:right w:w="57" w:type="dxa"/>
            </w:tcMar>
            <w:vAlign w:val="center"/>
            <w:hideMark/>
          </w:tcPr>
          <w:p w14:paraId="4669B245" w14:textId="77777777" w:rsidR="00A132CA" w:rsidRPr="00751BF4" w:rsidRDefault="00A132CA" w:rsidP="00646FB8">
            <w:pPr>
              <w:rPr>
                <w:rFonts w:cs="Arial"/>
                <w:sz w:val="18"/>
                <w:szCs w:val="18"/>
              </w:rPr>
            </w:pPr>
            <w:r w:rsidRPr="00751BF4">
              <w:rPr>
                <w:rFonts w:cs="Arial"/>
                <w:sz w:val="18"/>
                <w:szCs w:val="18"/>
              </w:rPr>
              <w:t>113</w:t>
            </w:r>
            <w:r w:rsidRPr="00751BF4">
              <w:rPr>
                <w:rFonts w:cs="Arial"/>
                <w:sz w:val="18"/>
                <w:szCs w:val="18"/>
              </w:rPr>
              <w:br/>
              <w:t>(61.7%)</w:t>
            </w:r>
          </w:p>
        </w:tc>
        <w:tc>
          <w:tcPr>
            <w:tcW w:w="1514" w:type="dxa"/>
            <w:tcBorders>
              <w:bottom w:val="single" w:sz="6" w:space="0" w:color="auto"/>
            </w:tcBorders>
            <w:shd w:val="clear" w:color="auto" w:fill="F9F9F9"/>
            <w:tcMar>
              <w:top w:w="75" w:type="dxa"/>
              <w:left w:w="57" w:type="dxa"/>
              <w:bottom w:w="0" w:type="dxa"/>
              <w:right w:w="57" w:type="dxa"/>
            </w:tcMar>
            <w:vAlign w:val="center"/>
            <w:hideMark/>
          </w:tcPr>
          <w:p w14:paraId="5FE8E372" w14:textId="77777777" w:rsidR="00A132CA" w:rsidRPr="00751BF4" w:rsidRDefault="00A132CA" w:rsidP="00646FB8">
            <w:pPr>
              <w:rPr>
                <w:rFonts w:cs="Arial"/>
                <w:sz w:val="18"/>
                <w:szCs w:val="18"/>
              </w:rPr>
            </w:pPr>
            <w:r w:rsidRPr="00751BF4">
              <w:rPr>
                <w:rFonts w:cs="Arial"/>
                <w:sz w:val="18"/>
                <w:szCs w:val="18"/>
              </w:rPr>
              <w:t>157</w:t>
            </w:r>
            <w:r w:rsidRPr="00751BF4">
              <w:rPr>
                <w:rFonts w:cs="Arial"/>
                <w:sz w:val="18"/>
                <w:szCs w:val="18"/>
              </w:rPr>
              <w:br/>
              <w:t>(85.8%)</w:t>
            </w:r>
          </w:p>
        </w:tc>
      </w:tr>
      <w:tr w:rsidR="00A132CA" w:rsidRPr="00751BF4" w14:paraId="16ADE521" w14:textId="77777777" w:rsidTr="00A132CA">
        <w:trPr>
          <w:trHeight w:val="661"/>
          <w:tblCellSpacing w:w="15" w:type="dxa"/>
        </w:trPr>
        <w:tc>
          <w:tcPr>
            <w:tcW w:w="4772" w:type="dxa"/>
            <w:tcBorders>
              <w:bottom w:val="single" w:sz="6" w:space="0" w:color="auto"/>
            </w:tcBorders>
            <w:shd w:val="clear" w:color="auto" w:fill="FFFFFF"/>
            <w:tcMar>
              <w:top w:w="75" w:type="dxa"/>
              <w:left w:w="57" w:type="dxa"/>
              <w:bottom w:w="0" w:type="dxa"/>
              <w:right w:w="57" w:type="dxa"/>
            </w:tcMar>
            <w:vAlign w:val="center"/>
            <w:hideMark/>
          </w:tcPr>
          <w:p w14:paraId="2222462C" w14:textId="77777777" w:rsidR="00A132CA" w:rsidRPr="00751BF4" w:rsidRDefault="00A132CA" w:rsidP="00646FB8">
            <w:pPr>
              <w:rPr>
                <w:rFonts w:cs="Arial"/>
                <w:sz w:val="18"/>
                <w:szCs w:val="18"/>
              </w:rPr>
            </w:pPr>
            <w:r w:rsidRPr="00751BF4">
              <w:rPr>
                <w:rFonts w:cs="Arial"/>
                <w:sz w:val="18"/>
                <w:szCs w:val="18"/>
              </w:rPr>
              <w:t>5. Which of these is the best way to make it</w:t>
            </w:r>
            <w:r w:rsidRPr="00751BF4">
              <w:rPr>
                <w:rFonts w:cs="Arial"/>
                <w:sz w:val="18"/>
                <w:szCs w:val="18"/>
              </w:rPr>
              <w:br/>
              <w:t>apparent that your pharmacy is LGBTQ+ inclusive?</w:t>
            </w:r>
          </w:p>
        </w:tc>
        <w:tc>
          <w:tcPr>
            <w:tcW w:w="1954" w:type="dxa"/>
            <w:tcBorders>
              <w:bottom w:val="single" w:sz="6" w:space="0" w:color="auto"/>
            </w:tcBorders>
            <w:shd w:val="clear" w:color="auto" w:fill="FFFFFF"/>
            <w:tcMar>
              <w:top w:w="75" w:type="dxa"/>
              <w:left w:w="57" w:type="dxa"/>
              <w:bottom w:w="0" w:type="dxa"/>
              <w:right w:w="57" w:type="dxa"/>
            </w:tcMar>
            <w:vAlign w:val="center"/>
            <w:hideMark/>
          </w:tcPr>
          <w:p w14:paraId="25327A83" w14:textId="77777777" w:rsidR="00A132CA" w:rsidRPr="00751BF4" w:rsidRDefault="00A132CA" w:rsidP="00646FB8">
            <w:pPr>
              <w:rPr>
                <w:rFonts w:cs="Arial"/>
                <w:sz w:val="18"/>
                <w:szCs w:val="18"/>
              </w:rPr>
            </w:pPr>
            <w:r w:rsidRPr="00751BF4">
              <w:rPr>
                <w:rFonts w:cs="Arial"/>
                <w:sz w:val="18"/>
                <w:szCs w:val="18"/>
              </w:rPr>
              <w:t>Patient Inclusivity</w:t>
            </w:r>
          </w:p>
        </w:tc>
        <w:tc>
          <w:tcPr>
            <w:tcW w:w="1530" w:type="dxa"/>
            <w:tcBorders>
              <w:bottom w:val="single" w:sz="6" w:space="0" w:color="auto"/>
            </w:tcBorders>
            <w:shd w:val="clear" w:color="auto" w:fill="FFFFFF"/>
            <w:tcMar>
              <w:top w:w="75" w:type="dxa"/>
              <w:left w:w="57" w:type="dxa"/>
              <w:bottom w:w="0" w:type="dxa"/>
              <w:right w:w="57" w:type="dxa"/>
            </w:tcMar>
            <w:vAlign w:val="center"/>
            <w:hideMark/>
          </w:tcPr>
          <w:p w14:paraId="1C92BBAC" w14:textId="77777777" w:rsidR="00A132CA" w:rsidRPr="00751BF4" w:rsidRDefault="00A132CA" w:rsidP="00646FB8">
            <w:pPr>
              <w:rPr>
                <w:rFonts w:cs="Arial"/>
                <w:sz w:val="18"/>
                <w:szCs w:val="18"/>
              </w:rPr>
            </w:pPr>
            <w:r w:rsidRPr="00751BF4">
              <w:rPr>
                <w:rFonts w:cs="Arial"/>
                <w:sz w:val="18"/>
                <w:szCs w:val="18"/>
              </w:rPr>
              <w:t>122</w:t>
            </w:r>
            <w:r w:rsidRPr="00751BF4">
              <w:rPr>
                <w:rFonts w:cs="Arial"/>
                <w:sz w:val="18"/>
                <w:szCs w:val="18"/>
              </w:rPr>
              <w:br/>
              <w:t>(67.0%)</w:t>
            </w:r>
          </w:p>
        </w:tc>
        <w:tc>
          <w:tcPr>
            <w:tcW w:w="1514" w:type="dxa"/>
            <w:tcBorders>
              <w:bottom w:val="single" w:sz="6" w:space="0" w:color="auto"/>
            </w:tcBorders>
            <w:shd w:val="clear" w:color="auto" w:fill="FFFFFF"/>
            <w:tcMar>
              <w:top w:w="75" w:type="dxa"/>
              <w:left w:w="57" w:type="dxa"/>
              <w:bottom w:w="0" w:type="dxa"/>
              <w:right w:w="57" w:type="dxa"/>
            </w:tcMar>
            <w:vAlign w:val="center"/>
            <w:hideMark/>
          </w:tcPr>
          <w:p w14:paraId="44368548" w14:textId="77777777" w:rsidR="00A132CA" w:rsidRPr="00751BF4" w:rsidRDefault="00A132CA" w:rsidP="00646FB8">
            <w:pPr>
              <w:rPr>
                <w:rFonts w:cs="Arial"/>
                <w:sz w:val="18"/>
                <w:szCs w:val="18"/>
              </w:rPr>
            </w:pPr>
            <w:r w:rsidRPr="00751BF4">
              <w:rPr>
                <w:rFonts w:cs="Arial"/>
                <w:sz w:val="18"/>
                <w:szCs w:val="18"/>
              </w:rPr>
              <w:t>134</w:t>
            </w:r>
            <w:r w:rsidRPr="00751BF4">
              <w:rPr>
                <w:rFonts w:cs="Arial"/>
                <w:sz w:val="18"/>
                <w:szCs w:val="18"/>
              </w:rPr>
              <w:br/>
              <w:t>(73.2%)</w:t>
            </w:r>
          </w:p>
        </w:tc>
      </w:tr>
      <w:tr w:rsidR="00A132CA" w:rsidRPr="00751BF4" w14:paraId="43BBC6D4" w14:textId="77777777" w:rsidTr="00A132CA">
        <w:trPr>
          <w:trHeight w:val="1082"/>
          <w:tblCellSpacing w:w="15" w:type="dxa"/>
        </w:trPr>
        <w:tc>
          <w:tcPr>
            <w:tcW w:w="4772" w:type="dxa"/>
            <w:tcBorders>
              <w:bottom w:val="single" w:sz="6" w:space="0" w:color="auto"/>
            </w:tcBorders>
            <w:shd w:val="clear" w:color="auto" w:fill="F9F9F9"/>
            <w:tcMar>
              <w:top w:w="75" w:type="dxa"/>
              <w:left w:w="57" w:type="dxa"/>
              <w:bottom w:w="0" w:type="dxa"/>
              <w:right w:w="57" w:type="dxa"/>
            </w:tcMar>
            <w:vAlign w:val="center"/>
            <w:hideMark/>
          </w:tcPr>
          <w:p w14:paraId="283BDAE3" w14:textId="77777777" w:rsidR="00A132CA" w:rsidRPr="00751BF4" w:rsidRDefault="00A132CA" w:rsidP="00646FB8">
            <w:pPr>
              <w:rPr>
                <w:rFonts w:cs="Arial"/>
                <w:sz w:val="18"/>
                <w:szCs w:val="18"/>
              </w:rPr>
            </w:pPr>
            <w:r w:rsidRPr="00751BF4">
              <w:rPr>
                <w:rFonts w:cs="Arial"/>
                <w:sz w:val="18"/>
                <w:szCs w:val="18"/>
              </w:rPr>
              <w:t>6. A woman (DMAB) designated male at birth)</w:t>
            </w:r>
            <w:r w:rsidRPr="00751BF4">
              <w:rPr>
                <w:rFonts w:cs="Arial"/>
                <w:sz w:val="18"/>
                <w:szCs w:val="18"/>
              </w:rPr>
              <w:br/>
              <w:t>asks you to recommend hormone therapy.</w:t>
            </w:r>
            <w:r w:rsidRPr="00751BF4">
              <w:rPr>
                <w:rFonts w:cs="Arial"/>
                <w:sz w:val="18"/>
                <w:szCs w:val="18"/>
              </w:rPr>
              <w:br/>
              <w:t>What are some factors you should take into</w:t>
            </w:r>
            <w:r w:rsidRPr="00751BF4">
              <w:rPr>
                <w:rFonts w:cs="Arial"/>
                <w:sz w:val="18"/>
                <w:szCs w:val="18"/>
              </w:rPr>
              <w:br/>
              <w:t>consideration?</w:t>
            </w:r>
          </w:p>
        </w:tc>
        <w:tc>
          <w:tcPr>
            <w:tcW w:w="1954" w:type="dxa"/>
            <w:tcBorders>
              <w:bottom w:val="single" w:sz="6" w:space="0" w:color="auto"/>
            </w:tcBorders>
            <w:shd w:val="clear" w:color="auto" w:fill="F9F9F9"/>
            <w:tcMar>
              <w:top w:w="75" w:type="dxa"/>
              <w:left w:w="57" w:type="dxa"/>
              <w:bottom w:w="0" w:type="dxa"/>
              <w:right w:w="57" w:type="dxa"/>
            </w:tcMar>
            <w:vAlign w:val="center"/>
            <w:hideMark/>
          </w:tcPr>
          <w:p w14:paraId="5BE26F01" w14:textId="0B7EE2C8" w:rsidR="00A132CA" w:rsidRPr="00751BF4" w:rsidRDefault="00A132CA" w:rsidP="00646FB8">
            <w:pPr>
              <w:rPr>
                <w:rFonts w:cs="Arial"/>
                <w:sz w:val="18"/>
                <w:szCs w:val="18"/>
              </w:rPr>
            </w:pPr>
            <w:r w:rsidRPr="00751BF4">
              <w:rPr>
                <w:rFonts w:cs="Arial"/>
                <w:sz w:val="18"/>
                <w:szCs w:val="18"/>
              </w:rPr>
              <w:t xml:space="preserve">HT </w:t>
            </w:r>
            <w:r w:rsidRPr="00A132CA">
              <w:rPr>
                <w:rFonts w:cs="Arial"/>
                <w:sz w:val="18"/>
                <w:szCs w:val="18"/>
              </w:rPr>
              <w:t>Counselling</w:t>
            </w:r>
          </w:p>
        </w:tc>
        <w:tc>
          <w:tcPr>
            <w:tcW w:w="1530" w:type="dxa"/>
            <w:tcBorders>
              <w:bottom w:val="single" w:sz="6" w:space="0" w:color="auto"/>
            </w:tcBorders>
            <w:shd w:val="clear" w:color="auto" w:fill="F9F9F9"/>
            <w:tcMar>
              <w:top w:w="75" w:type="dxa"/>
              <w:left w:w="57" w:type="dxa"/>
              <w:bottom w:w="0" w:type="dxa"/>
              <w:right w:w="57" w:type="dxa"/>
            </w:tcMar>
            <w:vAlign w:val="center"/>
            <w:hideMark/>
          </w:tcPr>
          <w:p w14:paraId="18C95E1B" w14:textId="77777777" w:rsidR="00A132CA" w:rsidRPr="00751BF4" w:rsidRDefault="00A132CA" w:rsidP="00646FB8">
            <w:pPr>
              <w:rPr>
                <w:rFonts w:cs="Arial"/>
                <w:sz w:val="18"/>
                <w:szCs w:val="18"/>
              </w:rPr>
            </w:pPr>
            <w:r w:rsidRPr="00751BF4">
              <w:rPr>
                <w:rFonts w:cs="Arial"/>
                <w:sz w:val="18"/>
                <w:szCs w:val="18"/>
              </w:rPr>
              <w:t>112</w:t>
            </w:r>
            <w:r w:rsidRPr="00751BF4">
              <w:rPr>
                <w:rFonts w:cs="Arial"/>
                <w:sz w:val="18"/>
                <w:szCs w:val="18"/>
              </w:rPr>
              <w:br/>
              <w:t>(61.5%)</w:t>
            </w:r>
          </w:p>
        </w:tc>
        <w:tc>
          <w:tcPr>
            <w:tcW w:w="1514" w:type="dxa"/>
            <w:tcBorders>
              <w:bottom w:val="single" w:sz="6" w:space="0" w:color="auto"/>
            </w:tcBorders>
            <w:shd w:val="clear" w:color="auto" w:fill="F9F9F9"/>
            <w:tcMar>
              <w:top w:w="75" w:type="dxa"/>
              <w:left w:w="57" w:type="dxa"/>
              <w:bottom w:w="0" w:type="dxa"/>
              <w:right w:w="57" w:type="dxa"/>
            </w:tcMar>
            <w:vAlign w:val="center"/>
            <w:hideMark/>
          </w:tcPr>
          <w:p w14:paraId="002C00CA" w14:textId="77777777" w:rsidR="00A132CA" w:rsidRPr="00751BF4" w:rsidRDefault="00A132CA" w:rsidP="00646FB8">
            <w:pPr>
              <w:rPr>
                <w:rFonts w:cs="Arial"/>
                <w:sz w:val="18"/>
                <w:szCs w:val="18"/>
              </w:rPr>
            </w:pPr>
            <w:r w:rsidRPr="00751BF4">
              <w:rPr>
                <w:rFonts w:cs="Arial"/>
                <w:sz w:val="18"/>
                <w:szCs w:val="18"/>
              </w:rPr>
              <w:t>133</w:t>
            </w:r>
            <w:r w:rsidRPr="00751BF4">
              <w:rPr>
                <w:rFonts w:cs="Arial"/>
                <w:sz w:val="18"/>
                <w:szCs w:val="18"/>
              </w:rPr>
              <w:br/>
              <w:t>(72.7%)</w:t>
            </w:r>
          </w:p>
        </w:tc>
      </w:tr>
      <w:tr w:rsidR="00A132CA" w:rsidRPr="00751BF4" w14:paraId="3EA42B72" w14:textId="77777777" w:rsidTr="00A132CA">
        <w:trPr>
          <w:trHeight w:val="562"/>
          <w:tblCellSpacing w:w="15" w:type="dxa"/>
        </w:trPr>
        <w:tc>
          <w:tcPr>
            <w:tcW w:w="4772" w:type="dxa"/>
            <w:tcBorders>
              <w:bottom w:val="single" w:sz="6" w:space="0" w:color="auto"/>
            </w:tcBorders>
            <w:shd w:val="clear" w:color="auto" w:fill="FFFFFF"/>
            <w:tcMar>
              <w:top w:w="75" w:type="dxa"/>
              <w:left w:w="57" w:type="dxa"/>
              <w:bottom w:w="0" w:type="dxa"/>
              <w:right w:w="57" w:type="dxa"/>
            </w:tcMar>
            <w:vAlign w:val="center"/>
            <w:hideMark/>
          </w:tcPr>
          <w:p w14:paraId="15C785F7" w14:textId="77777777" w:rsidR="00A132CA" w:rsidRPr="00751BF4" w:rsidRDefault="00A132CA" w:rsidP="00646FB8">
            <w:pPr>
              <w:rPr>
                <w:rFonts w:cs="Arial"/>
                <w:sz w:val="18"/>
                <w:szCs w:val="18"/>
              </w:rPr>
            </w:pPr>
            <w:r w:rsidRPr="00751BF4">
              <w:rPr>
                <w:rFonts w:cs="Arial"/>
                <w:sz w:val="18"/>
                <w:szCs w:val="18"/>
              </w:rPr>
              <w:t>7. MC was assigned male at birth but now</w:t>
            </w:r>
            <w:r w:rsidRPr="00751BF4">
              <w:rPr>
                <w:rFonts w:cs="Arial"/>
                <w:sz w:val="18"/>
                <w:szCs w:val="18"/>
              </w:rPr>
              <w:br/>
              <w:t>identifies as a woman who uses she/her/hers</w:t>
            </w:r>
            <w:r w:rsidRPr="00751BF4">
              <w:rPr>
                <w:rFonts w:cs="Arial"/>
                <w:sz w:val="18"/>
                <w:szCs w:val="18"/>
              </w:rPr>
              <w:br/>
              <w:t>pronouns. How should you refer to her?</w:t>
            </w:r>
          </w:p>
        </w:tc>
        <w:tc>
          <w:tcPr>
            <w:tcW w:w="1954" w:type="dxa"/>
            <w:tcBorders>
              <w:bottom w:val="single" w:sz="6" w:space="0" w:color="auto"/>
            </w:tcBorders>
            <w:shd w:val="clear" w:color="auto" w:fill="FFFFFF"/>
            <w:tcMar>
              <w:top w:w="75" w:type="dxa"/>
              <w:left w:w="57" w:type="dxa"/>
              <w:bottom w:w="0" w:type="dxa"/>
              <w:right w:w="57" w:type="dxa"/>
            </w:tcMar>
            <w:vAlign w:val="center"/>
            <w:hideMark/>
          </w:tcPr>
          <w:p w14:paraId="7F96C5E1" w14:textId="77777777" w:rsidR="00A132CA" w:rsidRPr="00751BF4" w:rsidRDefault="00A132CA" w:rsidP="00646FB8">
            <w:pPr>
              <w:rPr>
                <w:rFonts w:cs="Arial"/>
                <w:sz w:val="18"/>
                <w:szCs w:val="18"/>
              </w:rPr>
            </w:pPr>
            <w:r w:rsidRPr="00751BF4">
              <w:rPr>
                <w:rFonts w:cs="Arial"/>
                <w:sz w:val="18"/>
                <w:szCs w:val="18"/>
              </w:rPr>
              <w:t>Pronoun Use</w:t>
            </w:r>
          </w:p>
        </w:tc>
        <w:tc>
          <w:tcPr>
            <w:tcW w:w="1530" w:type="dxa"/>
            <w:tcBorders>
              <w:bottom w:val="single" w:sz="6" w:space="0" w:color="auto"/>
            </w:tcBorders>
            <w:shd w:val="clear" w:color="auto" w:fill="FFFFFF"/>
            <w:tcMar>
              <w:top w:w="75" w:type="dxa"/>
              <w:left w:w="57" w:type="dxa"/>
              <w:bottom w:w="0" w:type="dxa"/>
              <w:right w:w="57" w:type="dxa"/>
            </w:tcMar>
            <w:vAlign w:val="center"/>
            <w:hideMark/>
          </w:tcPr>
          <w:p w14:paraId="56324139" w14:textId="77777777" w:rsidR="00A132CA" w:rsidRPr="00751BF4" w:rsidRDefault="00A132CA" w:rsidP="00646FB8">
            <w:pPr>
              <w:rPr>
                <w:rFonts w:cs="Arial"/>
                <w:sz w:val="18"/>
                <w:szCs w:val="18"/>
              </w:rPr>
            </w:pPr>
            <w:r w:rsidRPr="00751BF4">
              <w:rPr>
                <w:rFonts w:cs="Arial"/>
                <w:sz w:val="18"/>
                <w:szCs w:val="18"/>
              </w:rPr>
              <w:t>144</w:t>
            </w:r>
            <w:r w:rsidRPr="00751BF4">
              <w:rPr>
                <w:rFonts w:cs="Arial"/>
                <w:sz w:val="18"/>
                <w:szCs w:val="18"/>
              </w:rPr>
              <w:br/>
              <w:t>(78.7%)</w:t>
            </w:r>
          </w:p>
        </w:tc>
        <w:tc>
          <w:tcPr>
            <w:tcW w:w="1514" w:type="dxa"/>
            <w:tcBorders>
              <w:bottom w:val="single" w:sz="6" w:space="0" w:color="auto"/>
            </w:tcBorders>
            <w:shd w:val="clear" w:color="auto" w:fill="FFFFFF"/>
            <w:tcMar>
              <w:top w:w="75" w:type="dxa"/>
              <w:left w:w="57" w:type="dxa"/>
              <w:bottom w:w="0" w:type="dxa"/>
              <w:right w:w="57" w:type="dxa"/>
            </w:tcMar>
            <w:vAlign w:val="center"/>
            <w:hideMark/>
          </w:tcPr>
          <w:p w14:paraId="60FD048B" w14:textId="77777777" w:rsidR="00A132CA" w:rsidRPr="00751BF4" w:rsidRDefault="00A132CA" w:rsidP="00646FB8">
            <w:pPr>
              <w:rPr>
                <w:rFonts w:cs="Arial"/>
                <w:sz w:val="18"/>
                <w:szCs w:val="18"/>
              </w:rPr>
            </w:pPr>
            <w:r w:rsidRPr="00751BF4">
              <w:rPr>
                <w:rFonts w:cs="Arial"/>
                <w:sz w:val="18"/>
                <w:szCs w:val="18"/>
              </w:rPr>
              <w:t>157</w:t>
            </w:r>
            <w:r w:rsidRPr="00751BF4">
              <w:rPr>
                <w:rFonts w:cs="Arial"/>
                <w:sz w:val="18"/>
                <w:szCs w:val="18"/>
              </w:rPr>
              <w:br/>
              <w:t>(85.8%)</w:t>
            </w:r>
          </w:p>
        </w:tc>
      </w:tr>
      <w:tr w:rsidR="00A132CA" w:rsidRPr="00751BF4" w14:paraId="59076546" w14:textId="77777777" w:rsidTr="00A132CA">
        <w:trPr>
          <w:trHeight w:val="725"/>
          <w:tblCellSpacing w:w="15" w:type="dxa"/>
        </w:trPr>
        <w:tc>
          <w:tcPr>
            <w:tcW w:w="4772" w:type="dxa"/>
            <w:tcBorders>
              <w:bottom w:val="single" w:sz="6" w:space="0" w:color="auto"/>
            </w:tcBorders>
            <w:shd w:val="clear" w:color="auto" w:fill="F9F9F9"/>
            <w:tcMar>
              <w:top w:w="75" w:type="dxa"/>
              <w:left w:w="57" w:type="dxa"/>
              <w:bottom w:w="0" w:type="dxa"/>
              <w:right w:w="57" w:type="dxa"/>
            </w:tcMar>
            <w:vAlign w:val="center"/>
            <w:hideMark/>
          </w:tcPr>
          <w:p w14:paraId="3B238CC1" w14:textId="77777777" w:rsidR="00A132CA" w:rsidRPr="00751BF4" w:rsidRDefault="00A132CA" w:rsidP="00646FB8">
            <w:pPr>
              <w:rPr>
                <w:rFonts w:cs="Arial"/>
                <w:sz w:val="18"/>
                <w:szCs w:val="18"/>
              </w:rPr>
            </w:pPr>
            <w:r w:rsidRPr="00751BF4">
              <w:rPr>
                <w:rFonts w:cs="Arial"/>
                <w:sz w:val="18"/>
                <w:szCs w:val="18"/>
              </w:rPr>
              <w:t>8. Which of the following situation(s) may</w:t>
            </w:r>
            <w:r w:rsidRPr="00751BF4">
              <w:rPr>
                <w:rFonts w:cs="Arial"/>
                <w:sz w:val="18"/>
                <w:szCs w:val="18"/>
              </w:rPr>
              <w:br/>
              <w:t>unintentionally “out” an LGBTQ+</w:t>
            </w:r>
            <w:r w:rsidRPr="00751BF4">
              <w:rPr>
                <w:rFonts w:cs="Arial"/>
                <w:sz w:val="18"/>
                <w:szCs w:val="18"/>
              </w:rPr>
              <w:br/>
              <w:t>patient/colleague who approaches your</w:t>
            </w:r>
            <w:r w:rsidRPr="00751BF4">
              <w:rPr>
                <w:rFonts w:cs="Arial"/>
                <w:sz w:val="18"/>
                <w:szCs w:val="18"/>
              </w:rPr>
              <w:br/>
              <w:t>consultation window by themselves?</w:t>
            </w:r>
          </w:p>
        </w:tc>
        <w:tc>
          <w:tcPr>
            <w:tcW w:w="1954" w:type="dxa"/>
            <w:tcBorders>
              <w:bottom w:val="single" w:sz="6" w:space="0" w:color="auto"/>
            </w:tcBorders>
            <w:shd w:val="clear" w:color="auto" w:fill="F9F9F9"/>
            <w:tcMar>
              <w:top w:w="75" w:type="dxa"/>
              <w:left w:w="57" w:type="dxa"/>
              <w:bottom w:w="0" w:type="dxa"/>
              <w:right w:w="57" w:type="dxa"/>
            </w:tcMar>
            <w:vAlign w:val="center"/>
            <w:hideMark/>
          </w:tcPr>
          <w:p w14:paraId="4EC3F518" w14:textId="77777777" w:rsidR="00A132CA" w:rsidRPr="00751BF4" w:rsidRDefault="00A132CA" w:rsidP="00646FB8">
            <w:pPr>
              <w:rPr>
                <w:rFonts w:cs="Arial"/>
                <w:sz w:val="18"/>
                <w:szCs w:val="18"/>
              </w:rPr>
            </w:pPr>
            <w:r w:rsidRPr="00751BF4">
              <w:rPr>
                <w:rFonts w:cs="Arial"/>
                <w:sz w:val="18"/>
                <w:szCs w:val="18"/>
              </w:rPr>
              <w:t>Privacy</w:t>
            </w:r>
          </w:p>
        </w:tc>
        <w:tc>
          <w:tcPr>
            <w:tcW w:w="1530" w:type="dxa"/>
            <w:tcBorders>
              <w:bottom w:val="single" w:sz="6" w:space="0" w:color="auto"/>
            </w:tcBorders>
            <w:shd w:val="clear" w:color="auto" w:fill="F9F9F9"/>
            <w:tcMar>
              <w:top w:w="75" w:type="dxa"/>
              <w:left w:w="57" w:type="dxa"/>
              <w:bottom w:w="0" w:type="dxa"/>
              <w:right w:w="57" w:type="dxa"/>
            </w:tcMar>
            <w:vAlign w:val="center"/>
            <w:hideMark/>
          </w:tcPr>
          <w:p w14:paraId="4E9E86D0" w14:textId="77777777" w:rsidR="00A132CA" w:rsidRPr="00751BF4" w:rsidRDefault="00A132CA" w:rsidP="00646FB8">
            <w:pPr>
              <w:rPr>
                <w:rFonts w:cs="Arial"/>
                <w:sz w:val="18"/>
                <w:szCs w:val="18"/>
              </w:rPr>
            </w:pPr>
            <w:r w:rsidRPr="00751BF4">
              <w:rPr>
                <w:rFonts w:cs="Arial"/>
                <w:sz w:val="18"/>
                <w:szCs w:val="18"/>
              </w:rPr>
              <w:t>127</w:t>
            </w:r>
            <w:r w:rsidRPr="00751BF4">
              <w:rPr>
                <w:rFonts w:cs="Arial"/>
                <w:sz w:val="18"/>
                <w:szCs w:val="18"/>
              </w:rPr>
              <w:br/>
              <w:t>(69.4%)</w:t>
            </w:r>
          </w:p>
        </w:tc>
        <w:tc>
          <w:tcPr>
            <w:tcW w:w="1514" w:type="dxa"/>
            <w:tcBorders>
              <w:bottom w:val="single" w:sz="6" w:space="0" w:color="auto"/>
            </w:tcBorders>
            <w:shd w:val="clear" w:color="auto" w:fill="F9F9F9"/>
            <w:tcMar>
              <w:top w:w="75" w:type="dxa"/>
              <w:left w:w="57" w:type="dxa"/>
              <w:bottom w:w="0" w:type="dxa"/>
              <w:right w:w="57" w:type="dxa"/>
            </w:tcMar>
            <w:vAlign w:val="center"/>
            <w:hideMark/>
          </w:tcPr>
          <w:p w14:paraId="32A6C563" w14:textId="77777777" w:rsidR="00A132CA" w:rsidRPr="00751BF4" w:rsidRDefault="00A132CA" w:rsidP="00646FB8">
            <w:pPr>
              <w:rPr>
                <w:rFonts w:cs="Arial"/>
                <w:sz w:val="18"/>
                <w:szCs w:val="18"/>
              </w:rPr>
            </w:pPr>
            <w:r w:rsidRPr="00751BF4">
              <w:rPr>
                <w:rFonts w:cs="Arial"/>
                <w:sz w:val="18"/>
                <w:szCs w:val="18"/>
              </w:rPr>
              <w:t>131</w:t>
            </w:r>
            <w:r w:rsidRPr="00751BF4">
              <w:rPr>
                <w:rFonts w:cs="Arial"/>
                <w:sz w:val="18"/>
                <w:szCs w:val="18"/>
              </w:rPr>
              <w:br/>
              <w:t>(71.6%)</w:t>
            </w:r>
          </w:p>
        </w:tc>
      </w:tr>
      <w:tr w:rsidR="00A132CA" w:rsidRPr="00751BF4" w14:paraId="1D033262" w14:textId="77777777" w:rsidTr="00A132CA">
        <w:trPr>
          <w:trHeight w:val="447"/>
          <w:tblCellSpacing w:w="15" w:type="dxa"/>
        </w:trPr>
        <w:tc>
          <w:tcPr>
            <w:tcW w:w="4772" w:type="dxa"/>
            <w:tcBorders>
              <w:bottom w:val="single" w:sz="6" w:space="0" w:color="auto"/>
            </w:tcBorders>
            <w:shd w:val="clear" w:color="auto" w:fill="FFFFFF"/>
            <w:tcMar>
              <w:top w:w="75" w:type="dxa"/>
              <w:left w:w="57" w:type="dxa"/>
              <w:bottom w:w="0" w:type="dxa"/>
              <w:right w:w="57" w:type="dxa"/>
            </w:tcMar>
            <w:vAlign w:val="center"/>
            <w:hideMark/>
          </w:tcPr>
          <w:p w14:paraId="0BC51F5A" w14:textId="77777777" w:rsidR="00A132CA" w:rsidRPr="00751BF4" w:rsidRDefault="00A132CA" w:rsidP="00646FB8">
            <w:pPr>
              <w:rPr>
                <w:rFonts w:cs="Arial"/>
                <w:sz w:val="18"/>
                <w:szCs w:val="18"/>
              </w:rPr>
            </w:pPr>
            <w:r w:rsidRPr="00751BF4">
              <w:rPr>
                <w:rFonts w:cs="Arial"/>
                <w:sz w:val="18"/>
                <w:szCs w:val="18"/>
              </w:rPr>
              <w:t>9. A patient living with HIV asks if he should</w:t>
            </w:r>
            <w:r w:rsidRPr="00751BF4">
              <w:rPr>
                <w:rFonts w:cs="Arial"/>
                <w:sz w:val="18"/>
                <w:szCs w:val="18"/>
              </w:rPr>
              <w:br/>
              <w:t>receive a flu shot. What do you tell him?</w:t>
            </w:r>
          </w:p>
        </w:tc>
        <w:tc>
          <w:tcPr>
            <w:tcW w:w="1954" w:type="dxa"/>
            <w:tcBorders>
              <w:bottom w:val="single" w:sz="6" w:space="0" w:color="auto"/>
            </w:tcBorders>
            <w:shd w:val="clear" w:color="auto" w:fill="FFFFFF"/>
            <w:tcMar>
              <w:top w:w="75" w:type="dxa"/>
              <w:left w:w="57" w:type="dxa"/>
              <w:bottom w:w="0" w:type="dxa"/>
              <w:right w:w="57" w:type="dxa"/>
            </w:tcMar>
            <w:vAlign w:val="center"/>
            <w:hideMark/>
          </w:tcPr>
          <w:p w14:paraId="3BD56260" w14:textId="77777777" w:rsidR="00A132CA" w:rsidRPr="00751BF4" w:rsidRDefault="00A132CA" w:rsidP="00646FB8">
            <w:pPr>
              <w:rPr>
                <w:rFonts w:cs="Arial"/>
                <w:sz w:val="18"/>
                <w:szCs w:val="18"/>
              </w:rPr>
            </w:pPr>
            <w:r w:rsidRPr="00751BF4">
              <w:rPr>
                <w:rFonts w:cs="Arial"/>
                <w:sz w:val="18"/>
                <w:szCs w:val="18"/>
              </w:rPr>
              <w:t>HIV and Immunization Best Practices</w:t>
            </w:r>
          </w:p>
        </w:tc>
        <w:tc>
          <w:tcPr>
            <w:tcW w:w="1530" w:type="dxa"/>
            <w:tcBorders>
              <w:bottom w:val="single" w:sz="6" w:space="0" w:color="auto"/>
            </w:tcBorders>
            <w:shd w:val="clear" w:color="auto" w:fill="FFFFFF"/>
            <w:tcMar>
              <w:top w:w="75" w:type="dxa"/>
              <w:left w:w="57" w:type="dxa"/>
              <w:bottom w:w="0" w:type="dxa"/>
              <w:right w:w="57" w:type="dxa"/>
            </w:tcMar>
            <w:vAlign w:val="center"/>
            <w:hideMark/>
          </w:tcPr>
          <w:p w14:paraId="042BCB67" w14:textId="77777777" w:rsidR="00A132CA" w:rsidRPr="00751BF4" w:rsidRDefault="00A132CA" w:rsidP="00646FB8">
            <w:pPr>
              <w:rPr>
                <w:rFonts w:cs="Arial"/>
                <w:sz w:val="18"/>
                <w:szCs w:val="18"/>
              </w:rPr>
            </w:pPr>
            <w:r w:rsidRPr="00751BF4">
              <w:rPr>
                <w:rFonts w:cs="Arial"/>
                <w:sz w:val="18"/>
                <w:szCs w:val="18"/>
              </w:rPr>
              <w:t>128</w:t>
            </w:r>
            <w:r w:rsidRPr="00751BF4">
              <w:rPr>
                <w:rFonts w:cs="Arial"/>
                <w:sz w:val="18"/>
                <w:szCs w:val="18"/>
              </w:rPr>
              <w:br/>
              <w:t>(69.9%)</w:t>
            </w:r>
          </w:p>
        </w:tc>
        <w:tc>
          <w:tcPr>
            <w:tcW w:w="1514" w:type="dxa"/>
            <w:tcBorders>
              <w:bottom w:val="single" w:sz="6" w:space="0" w:color="auto"/>
            </w:tcBorders>
            <w:shd w:val="clear" w:color="auto" w:fill="FFFFFF"/>
            <w:tcMar>
              <w:top w:w="75" w:type="dxa"/>
              <w:left w:w="57" w:type="dxa"/>
              <w:bottom w:w="0" w:type="dxa"/>
              <w:right w:w="57" w:type="dxa"/>
            </w:tcMar>
            <w:vAlign w:val="center"/>
            <w:hideMark/>
          </w:tcPr>
          <w:p w14:paraId="1F26EFAF" w14:textId="77777777" w:rsidR="00A132CA" w:rsidRPr="00751BF4" w:rsidRDefault="00A132CA" w:rsidP="00646FB8">
            <w:pPr>
              <w:rPr>
                <w:rFonts w:cs="Arial"/>
                <w:sz w:val="18"/>
                <w:szCs w:val="18"/>
              </w:rPr>
            </w:pPr>
            <w:r w:rsidRPr="00751BF4">
              <w:rPr>
                <w:rFonts w:cs="Arial"/>
                <w:sz w:val="18"/>
                <w:szCs w:val="18"/>
              </w:rPr>
              <w:t>161</w:t>
            </w:r>
            <w:r w:rsidRPr="00751BF4">
              <w:rPr>
                <w:rFonts w:cs="Arial"/>
                <w:sz w:val="18"/>
                <w:szCs w:val="18"/>
              </w:rPr>
              <w:br/>
              <w:t>(88.0%)</w:t>
            </w:r>
          </w:p>
        </w:tc>
      </w:tr>
      <w:tr w:rsidR="00A132CA" w:rsidRPr="00751BF4" w14:paraId="09DA7233" w14:textId="77777777" w:rsidTr="00A132CA">
        <w:trPr>
          <w:trHeight w:val="39"/>
          <w:tblCellSpacing w:w="15" w:type="dxa"/>
        </w:trPr>
        <w:tc>
          <w:tcPr>
            <w:tcW w:w="4772" w:type="dxa"/>
            <w:tcBorders>
              <w:bottom w:val="single" w:sz="6" w:space="0" w:color="auto"/>
            </w:tcBorders>
            <w:shd w:val="clear" w:color="auto" w:fill="F9F9F9"/>
            <w:tcMar>
              <w:top w:w="75" w:type="dxa"/>
              <w:left w:w="57" w:type="dxa"/>
              <w:bottom w:w="0" w:type="dxa"/>
              <w:right w:w="57" w:type="dxa"/>
            </w:tcMar>
            <w:vAlign w:val="center"/>
            <w:hideMark/>
          </w:tcPr>
          <w:p w14:paraId="1EB0A98D" w14:textId="77777777" w:rsidR="00A132CA" w:rsidRPr="00751BF4" w:rsidRDefault="00A132CA" w:rsidP="00646FB8">
            <w:pPr>
              <w:rPr>
                <w:rFonts w:cs="Arial"/>
                <w:sz w:val="18"/>
                <w:szCs w:val="18"/>
              </w:rPr>
            </w:pPr>
            <w:r w:rsidRPr="00751BF4">
              <w:rPr>
                <w:rFonts w:cs="Arial"/>
                <w:sz w:val="18"/>
                <w:szCs w:val="18"/>
              </w:rPr>
              <w:t>10. True or False Question:</w:t>
            </w:r>
            <w:r w:rsidRPr="00751BF4">
              <w:rPr>
                <w:rFonts w:cs="Arial"/>
                <w:sz w:val="18"/>
                <w:szCs w:val="18"/>
              </w:rPr>
              <w:br/>
              <w:t>LGBTQ+ patients avoid accessing healthcare</w:t>
            </w:r>
            <w:r w:rsidRPr="00751BF4">
              <w:rPr>
                <w:rFonts w:cs="Arial"/>
                <w:sz w:val="18"/>
                <w:szCs w:val="18"/>
              </w:rPr>
              <w:br/>
              <w:t>due to difficulty communicating with</w:t>
            </w:r>
            <w:r w:rsidRPr="00751BF4">
              <w:rPr>
                <w:rFonts w:cs="Arial"/>
                <w:sz w:val="18"/>
                <w:szCs w:val="18"/>
              </w:rPr>
              <w:br/>
              <w:t>providers.</w:t>
            </w:r>
          </w:p>
        </w:tc>
        <w:tc>
          <w:tcPr>
            <w:tcW w:w="1954" w:type="dxa"/>
            <w:tcBorders>
              <w:bottom w:val="single" w:sz="6" w:space="0" w:color="auto"/>
            </w:tcBorders>
            <w:shd w:val="clear" w:color="auto" w:fill="F9F9F9"/>
            <w:tcMar>
              <w:top w:w="75" w:type="dxa"/>
              <w:left w:w="57" w:type="dxa"/>
              <w:bottom w:w="0" w:type="dxa"/>
              <w:right w:w="57" w:type="dxa"/>
            </w:tcMar>
            <w:vAlign w:val="center"/>
            <w:hideMark/>
          </w:tcPr>
          <w:p w14:paraId="1D0C4408" w14:textId="77777777" w:rsidR="00A132CA" w:rsidRPr="00751BF4" w:rsidRDefault="00A132CA" w:rsidP="00646FB8">
            <w:pPr>
              <w:rPr>
                <w:rFonts w:cs="Arial"/>
                <w:sz w:val="18"/>
                <w:szCs w:val="18"/>
              </w:rPr>
            </w:pPr>
            <w:r w:rsidRPr="00751BF4">
              <w:rPr>
                <w:rFonts w:cs="Arial"/>
                <w:sz w:val="18"/>
                <w:szCs w:val="18"/>
              </w:rPr>
              <w:t>Communication Hesitancy</w:t>
            </w:r>
          </w:p>
        </w:tc>
        <w:tc>
          <w:tcPr>
            <w:tcW w:w="1530" w:type="dxa"/>
            <w:tcBorders>
              <w:bottom w:val="single" w:sz="6" w:space="0" w:color="auto"/>
            </w:tcBorders>
            <w:shd w:val="clear" w:color="auto" w:fill="F9F9F9"/>
            <w:tcMar>
              <w:top w:w="75" w:type="dxa"/>
              <w:left w:w="57" w:type="dxa"/>
              <w:bottom w:w="0" w:type="dxa"/>
              <w:right w:w="57" w:type="dxa"/>
            </w:tcMar>
            <w:vAlign w:val="center"/>
            <w:hideMark/>
          </w:tcPr>
          <w:p w14:paraId="7A9AAA1D" w14:textId="77777777" w:rsidR="00A132CA" w:rsidRPr="00751BF4" w:rsidRDefault="00A132CA" w:rsidP="00646FB8">
            <w:pPr>
              <w:rPr>
                <w:rFonts w:cs="Arial"/>
                <w:sz w:val="18"/>
                <w:szCs w:val="18"/>
              </w:rPr>
            </w:pPr>
            <w:r w:rsidRPr="00751BF4">
              <w:rPr>
                <w:rFonts w:cs="Arial"/>
                <w:sz w:val="18"/>
                <w:szCs w:val="18"/>
              </w:rPr>
              <w:t>163</w:t>
            </w:r>
            <w:r w:rsidRPr="00751BF4">
              <w:rPr>
                <w:rFonts w:cs="Arial"/>
                <w:sz w:val="18"/>
                <w:szCs w:val="18"/>
              </w:rPr>
              <w:br/>
              <w:t>(89.1%)</w:t>
            </w:r>
          </w:p>
        </w:tc>
        <w:tc>
          <w:tcPr>
            <w:tcW w:w="1514" w:type="dxa"/>
            <w:tcBorders>
              <w:bottom w:val="single" w:sz="6" w:space="0" w:color="auto"/>
            </w:tcBorders>
            <w:shd w:val="clear" w:color="auto" w:fill="F9F9F9"/>
            <w:tcMar>
              <w:top w:w="75" w:type="dxa"/>
              <w:left w:w="57" w:type="dxa"/>
              <w:bottom w:w="0" w:type="dxa"/>
              <w:right w:w="57" w:type="dxa"/>
            </w:tcMar>
            <w:vAlign w:val="center"/>
            <w:hideMark/>
          </w:tcPr>
          <w:p w14:paraId="1A7D181E" w14:textId="77777777" w:rsidR="00A132CA" w:rsidRPr="00751BF4" w:rsidRDefault="00A132CA" w:rsidP="00646FB8">
            <w:pPr>
              <w:rPr>
                <w:rFonts w:cs="Arial"/>
                <w:sz w:val="18"/>
                <w:szCs w:val="18"/>
              </w:rPr>
            </w:pPr>
            <w:r w:rsidRPr="00751BF4">
              <w:rPr>
                <w:rFonts w:cs="Arial"/>
                <w:sz w:val="18"/>
                <w:szCs w:val="18"/>
              </w:rPr>
              <w:t>176</w:t>
            </w:r>
            <w:r w:rsidRPr="00751BF4">
              <w:rPr>
                <w:rFonts w:cs="Arial"/>
                <w:sz w:val="18"/>
                <w:szCs w:val="18"/>
              </w:rPr>
              <w:br/>
              <w:t>(96.2%)</w:t>
            </w:r>
          </w:p>
        </w:tc>
      </w:tr>
      <w:tr w:rsidR="00A132CA" w:rsidRPr="00751BF4" w14:paraId="017181DD" w14:textId="77777777" w:rsidTr="00A132CA">
        <w:trPr>
          <w:trHeight w:val="490"/>
          <w:tblCellSpacing w:w="15" w:type="dxa"/>
        </w:trPr>
        <w:tc>
          <w:tcPr>
            <w:tcW w:w="4772" w:type="dxa"/>
            <w:tcBorders>
              <w:bottom w:val="single" w:sz="6" w:space="0" w:color="auto"/>
            </w:tcBorders>
            <w:shd w:val="clear" w:color="auto" w:fill="FFFFFF"/>
            <w:tcMar>
              <w:top w:w="75" w:type="dxa"/>
              <w:left w:w="57" w:type="dxa"/>
              <w:bottom w:w="0" w:type="dxa"/>
              <w:right w:w="57" w:type="dxa"/>
            </w:tcMar>
            <w:vAlign w:val="center"/>
            <w:hideMark/>
          </w:tcPr>
          <w:p w14:paraId="1C5BBC16" w14:textId="77777777" w:rsidR="00A132CA" w:rsidRPr="00751BF4" w:rsidRDefault="00A132CA" w:rsidP="00646FB8">
            <w:pPr>
              <w:rPr>
                <w:rFonts w:cs="Arial"/>
                <w:sz w:val="18"/>
                <w:szCs w:val="18"/>
              </w:rPr>
            </w:pPr>
            <w:r w:rsidRPr="00751BF4">
              <w:rPr>
                <w:rFonts w:cs="Arial"/>
                <w:sz w:val="18"/>
                <w:szCs w:val="18"/>
              </w:rPr>
              <w:t>11. True or False Question:</w:t>
            </w:r>
            <w:r w:rsidRPr="00751BF4">
              <w:rPr>
                <w:rFonts w:cs="Arial"/>
                <w:sz w:val="18"/>
                <w:szCs w:val="18"/>
              </w:rPr>
              <w:br/>
              <w:t>There is an association between being an</w:t>
            </w:r>
            <w:r w:rsidRPr="00751BF4">
              <w:rPr>
                <w:rFonts w:cs="Arial"/>
                <w:sz w:val="18"/>
                <w:szCs w:val="18"/>
              </w:rPr>
              <w:br/>
              <w:t>LGBTQ+ adolescent and suicide.</w:t>
            </w:r>
          </w:p>
        </w:tc>
        <w:tc>
          <w:tcPr>
            <w:tcW w:w="1954" w:type="dxa"/>
            <w:tcBorders>
              <w:bottom w:val="single" w:sz="6" w:space="0" w:color="auto"/>
            </w:tcBorders>
            <w:shd w:val="clear" w:color="auto" w:fill="FFFFFF"/>
            <w:tcMar>
              <w:top w:w="75" w:type="dxa"/>
              <w:left w:w="57" w:type="dxa"/>
              <w:bottom w:w="0" w:type="dxa"/>
              <w:right w:w="57" w:type="dxa"/>
            </w:tcMar>
            <w:vAlign w:val="center"/>
            <w:hideMark/>
          </w:tcPr>
          <w:p w14:paraId="141EEF4D" w14:textId="77777777" w:rsidR="00A132CA" w:rsidRPr="00751BF4" w:rsidRDefault="00A132CA" w:rsidP="00646FB8">
            <w:pPr>
              <w:rPr>
                <w:rFonts w:cs="Arial"/>
                <w:sz w:val="18"/>
                <w:szCs w:val="18"/>
              </w:rPr>
            </w:pPr>
            <w:r w:rsidRPr="00751BF4">
              <w:rPr>
                <w:rFonts w:cs="Arial"/>
                <w:sz w:val="18"/>
                <w:szCs w:val="18"/>
              </w:rPr>
              <w:t>Risk Awareness</w:t>
            </w:r>
          </w:p>
        </w:tc>
        <w:tc>
          <w:tcPr>
            <w:tcW w:w="1530" w:type="dxa"/>
            <w:tcBorders>
              <w:bottom w:val="single" w:sz="6" w:space="0" w:color="auto"/>
            </w:tcBorders>
            <w:shd w:val="clear" w:color="auto" w:fill="FFFFFF"/>
            <w:tcMar>
              <w:top w:w="75" w:type="dxa"/>
              <w:left w:w="57" w:type="dxa"/>
              <w:bottom w:w="0" w:type="dxa"/>
              <w:right w:w="57" w:type="dxa"/>
            </w:tcMar>
            <w:vAlign w:val="center"/>
            <w:hideMark/>
          </w:tcPr>
          <w:p w14:paraId="01CF0D9B" w14:textId="77777777" w:rsidR="00A132CA" w:rsidRPr="00751BF4" w:rsidRDefault="00A132CA" w:rsidP="00646FB8">
            <w:pPr>
              <w:rPr>
                <w:rFonts w:cs="Arial"/>
                <w:sz w:val="18"/>
                <w:szCs w:val="18"/>
              </w:rPr>
            </w:pPr>
            <w:r w:rsidRPr="00751BF4">
              <w:rPr>
                <w:rFonts w:cs="Arial"/>
                <w:sz w:val="18"/>
                <w:szCs w:val="18"/>
              </w:rPr>
              <w:t>177</w:t>
            </w:r>
            <w:r w:rsidRPr="00751BF4">
              <w:rPr>
                <w:rFonts w:cs="Arial"/>
                <w:sz w:val="18"/>
                <w:szCs w:val="18"/>
              </w:rPr>
              <w:br/>
              <w:t>(95.7%)</w:t>
            </w:r>
          </w:p>
        </w:tc>
        <w:tc>
          <w:tcPr>
            <w:tcW w:w="1514" w:type="dxa"/>
            <w:tcBorders>
              <w:bottom w:val="single" w:sz="6" w:space="0" w:color="auto"/>
            </w:tcBorders>
            <w:shd w:val="clear" w:color="auto" w:fill="FFFFFF"/>
            <w:tcMar>
              <w:top w:w="75" w:type="dxa"/>
              <w:left w:w="57" w:type="dxa"/>
              <w:bottom w:w="0" w:type="dxa"/>
              <w:right w:w="57" w:type="dxa"/>
            </w:tcMar>
            <w:vAlign w:val="center"/>
            <w:hideMark/>
          </w:tcPr>
          <w:p w14:paraId="7F49A25C" w14:textId="77777777" w:rsidR="00A132CA" w:rsidRPr="00751BF4" w:rsidRDefault="00A132CA" w:rsidP="00646FB8">
            <w:pPr>
              <w:rPr>
                <w:rFonts w:cs="Arial"/>
                <w:sz w:val="18"/>
                <w:szCs w:val="18"/>
              </w:rPr>
            </w:pPr>
            <w:r w:rsidRPr="00751BF4">
              <w:rPr>
                <w:rFonts w:cs="Arial"/>
                <w:sz w:val="18"/>
                <w:szCs w:val="18"/>
              </w:rPr>
              <w:t>178</w:t>
            </w:r>
            <w:r w:rsidRPr="00751BF4">
              <w:rPr>
                <w:rFonts w:cs="Arial"/>
                <w:sz w:val="18"/>
                <w:szCs w:val="18"/>
              </w:rPr>
              <w:br/>
              <w:t>(96.2)</w:t>
            </w:r>
          </w:p>
        </w:tc>
      </w:tr>
      <w:tr w:rsidR="00A132CA" w:rsidRPr="00751BF4" w14:paraId="7D811897" w14:textId="77777777" w:rsidTr="00A132CA">
        <w:trPr>
          <w:trHeight w:val="511"/>
          <w:tblCellSpacing w:w="15" w:type="dxa"/>
        </w:trPr>
        <w:tc>
          <w:tcPr>
            <w:tcW w:w="4772" w:type="dxa"/>
            <w:tcBorders>
              <w:bottom w:val="single" w:sz="6" w:space="0" w:color="auto"/>
            </w:tcBorders>
            <w:shd w:val="clear" w:color="auto" w:fill="F9F9F9"/>
            <w:tcMar>
              <w:top w:w="75" w:type="dxa"/>
              <w:left w:w="57" w:type="dxa"/>
              <w:bottom w:w="0" w:type="dxa"/>
              <w:right w:w="57" w:type="dxa"/>
            </w:tcMar>
            <w:vAlign w:val="center"/>
            <w:hideMark/>
          </w:tcPr>
          <w:p w14:paraId="7A8FB174" w14:textId="77777777" w:rsidR="00A132CA" w:rsidRPr="00751BF4" w:rsidRDefault="00A132CA" w:rsidP="00646FB8">
            <w:pPr>
              <w:rPr>
                <w:rFonts w:cs="Arial"/>
                <w:sz w:val="18"/>
                <w:szCs w:val="18"/>
              </w:rPr>
            </w:pPr>
            <w:r w:rsidRPr="00751BF4">
              <w:rPr>
                <w:rFonts w:cs="Arial"/>
                <w:sz w:val="18"/>
                <w:szCs w:val="18"/>
              </w:rPr>
              <w:t>12. True or False Question:</w:t>
            </w:r>
            <w:r w:rsidRPr="00751BF4">
              <w:rPr>
                <w:rFonts w:cs="Arial"/>
                <w:sz w:val="18"/>
                <w:szCs w:val="18"/>
              </w:rPr>
              <w:br/>
              <w:t>When vaccinating a patient living with HIV, it is important you take extra preventative</w:t>
            </w:r>
            <w:r w:rsidRPr="00751BF4">
              <w:rPr>
                <w:rFonts w:cs="Arial"/>
                <w:sz w:val="18"/>
                <w:szCs w:val="18"/>
              </w:rPr>
              <w:br/>
              <w:t>measures to protect yourself from HIV exposure.</w:t>
            </w:r>
          </w:p>
        </w:tc>
        <w:tc>
          <w:tcPr>
            <w:tcW w:w="1954" w:type="dxa"/>
            <w:tcBorders>
              <w:bottom w:val="single" w:sz="6" w:space="0" w:color="auto"/>
            </w:tcBorders>
            <w:shd w:val="clear" w:color="auto" w:fill="F9F9F9"/>
            <w:tcMar>
              <w:top w:w="75" w:type="dxa"/>
              <w:left w:w="57" w:type="dxa"/>
              <w:bottom w:w="0" w:type="dxa"/>
              <w:right w:w="57" w:type="dxa"/>
            </w:tcMar>
            <w:vAlign w:val="center"/>
            <w:hideMark/>
          </w:tcPr>
          <w:p w14:paraId="590EAA95" w14:textId="77777777" w:rsidR="00A132CA" w:rsidRPr="00751BF4" w:rsidRDefault="00A132CA" w:rsidP="00646FB8">
            <w:pPr>
              <w:rPr>
                <w:rFonts w:cs="Arial"/>
                <w:sz w:val="18"/>
                <w:szCs w:val="18"/>
              </w:rPr>
            </w:pPr>
            <w:r w:rsidRPr="00751BF4">
              <w:rPr>
                <w:rFonts w:cs="Arial"/>
                <w:sz w:val="18"/>
                <w:szCs w:val="18"/>
              </w:rPr>
              <w:t>HIV and Immunization Best Practices</w:t>
            </w:r>
          </w:p>
        </w:tc>
        <w:tc>
          <w:tcPr>
            <w:tcW w:w="1530" w:type="dxa"/>
            <w:tcBorders>
              <w:bottom w:val="single" w:sz="6" w:space="0" w:color="auto"/>
            </w:tcBorders>
            <w:shd w:val="clear" w:color="auto" w:fill="F9F9F9"/>
            <w:tcMar>
              <w:top w:w="75" w:type="dxa"/>
              <w:left w:w="57" w:type="dxa"/>
              <w:bottom w:w="0" w:type="dxa"/>
              <w:right w:w="57" w:type="dxa"/>
            </w:tcMar>
            <w:vAlign w:val="center"/>
            <w:hideMark/>
          </w:tcPr>
          <w:p w14:paraId="22B2F0DF" w14:textId="77777777" w:rsidR="00A132CA" w:rsidRPr="00751BF4" w:rsidRDefault="00A132CA" w:rsidP="00646FB8">
            <w:pPr>
              <w:rPr>
                <w:rFonts w:cs="Arial"/>
                <w:sz w:val="18"/>
                <w:szCs w:val="18"/>
              </w:rPr>
            </w:pPr>
            <w:r w:rsidRPr="00751BF4">
              <w:rPr>
                <w:rFonts w:cs="Arial"/>
                <w:sz w:val="18"/>
                <w:szCs w:val="18"/>
              </w:rPr>
              <w:t>50</w:t>
            </w:r>
            <w:r w:rsidRPr="00751BF4">
              <w:rPr>
                <w:rFonts w:cs="Arial"/>
                <w:sz w:val="18"/>
                <w:szCs w:val="18"/>
              </w:rPr>
              <w:br/>
              <w:t>(27.6%)</w:t>
            </w:r>
          </w:p>
        </w:tc>
        <w:tc>
          <w:tcPr>
            <w:tcW w:w="1514" w:type="dxa"/>
            <w:tcBorders>
              <w:bottom w:val="single" w:sz="6" w:space="0" w:color="auto"/>
            </w:tcBorders>
            <w:shd w:val="clear" w:color="auto" w:fill="F9F9F9"/>
            <w:tcMar>
              <w:top w:w="75" w:type="dxa"/>
              <w:left w:w="57" w:type="dxa"/>
              <w:bottom w:w="0" w:type="dxa"/>
              <w:right w:w="57" w:type="dxa"/>
            </w:tcMar>
            <w:vAlign w:val="center"/>
            <w:hideMark/>
          </w:tcPr>
          <w:p w14:paraId="45CF4D37" w14:textId="77777777" w:rsidR="00A132CA" w:rsidRPr="00751BF4" w:rsidRDefault="00A132CA" w:rsidP="00646FB8">
            <w:pPr>
              <w:rPr>
                <w:rFonts w:cs="Arial"/>
                <w:sz w:val="18"/>
                <w:szCs w:val="18"/>
              </w:rPr>
            </w:pPr>
            <w:r w:rsidRPr="00751BF4">
              <w:rPr>
                <w:rFonts w:cs="Arial"/>
                <w:sz w:val="18"/>
                <w:szCs w:val="18"/>
              </w:rPr>
              <w:t>140</w:t>
            </w:r>
            <w:r w:rsidRPr="00751BF4">
              <w:rPr>
                <w:rFonts w:cs="Arial"/>
                <w:sz w:val="18"/>
                <w:szCs w:val="18"/>
              </w:rPr>
              <w:br/>
              <w:t>(75.7%)</w:t>
            </w:r>
          </w:p>
        </w:tc>
      </w:tr>
    </w:tbl>
    <w:p w14:paraId="6F864470" w14:textId="161EE5F5" w:rsidR="000E6FC2" w:rsidRDefault="005E6D91" w:rsidP="000E6FC2">
      <w:pPr>
        <w:pStyle w:val="ListParagraph"/>
        <w:numPr>
          <w:ilvl w:val="0"/>
          <w:numId w:val="5"/>
        </w:numPr>
        <w:rPr>
          <w:rFonts w:cs="Arial"/>
          <w:szCs w:val="20"/>
        </w:rPr>
      </w:pPr>
      <w:r w:rsidRPr="005E6D91">
        <w:rPr>
          <w:rFonts w:cs="Arial"/>
          <w:szCs w:val="20"/>
        </w:rPr>
        <w:t xml:space="preserve">The greatest knowledge change was reported in the categories of </w:t>
      </w:r>
      <w:r w:rsidR="000E6FC2">
        <w:rPr>
          <w:rFonts w:cs="Arial"/>
          <w:szCs w:val="20"/>
        </w:rPr>
        <w:t xml:space="preserve">HIV and </w:t>
      </w:r>
      <w:r w:rsidRPr="005E6D91">
        <w:rPr>
          <w:rFonts w:cs="Arial"/>
          <w:szCs w:val="20"/>
        </w:rPr>
        <w:t>immunization best practices (48.9%), HT counselling (33.6%), and pronoun use (22.8%). </w:t>
      </w:r>
    </w:p>
    <w:p w14:paraId="018E41DA" w14:textId="77777777" w:rsidR="000E6FC2" w:rsidRDefault="000E6FC2" w:rsidP="000E6FC2">
      <w:pPr>
        <w:rPr>
          <w:rFonts w:cs="Arial"/>
          <w:szCs w:val="20"/>
        </w:rPr>
      </w:pPr>
    </w:p>
    <w:p w14:paraId="60C19DA9" w14:textId="77777777" w:rsidR="00314035" w:rsidRDefault="00314035" w:rsidP="00314035">
      <w:pPr>
        <w:rPr>
          <w:rFonts w:cs="Arial"/>
          <w:szCs w:val="20"/>
        </w:rPr>
      </w:pPr>
      <w:hyperlink r:id="rId12" w:history="1">
        <w:r w:rsidRPr="004F2077">
          <w:rPr>
            <w:rStyle w:val="Hyperlink"/>
            <w:rFonts w:cs="Arial"/>
            <w:b/>
            <w:bCs/>
            <w:szCs w:val="20"/>
          </w:rPr>
          <w:t>Pharmacists' role in transgender h</w:t>
        </w:r>
        <w:r w:rsidRPr="004F2077">
          <w:rPr>
            <w:rStyle w:val="Hyperlink"/>
            <w:rFonts w:cs="Arial"/>
            <w:b/>
            <w:bCs/>
            <w:szCs w:val="20"/>
          </w:rPr>
          <w:t>e</w:t>
        </w:r>
        <w:r w:rsidRPr="004F2077">
          <w:rPr>
            <w:rStyle w:val="Hyperlink"/>
            <w:rFonts w:cs="Arial"/>
            <w:b/>
            <w:bCs/>
            <w:szCs w:val="20"/>
          </w:rPr>
          <w:t>althcare: A scoping review</w:t>
        </w:r>
      </w:hyperlink>
      <w:r w:rsidRPr="00AD0F30">
        <w:rPr>
          <w:rFonts w:cs="Arial"/>
          <w:b/>
          <w:bCs/>
          <w:szCs w:val="20"/>
        </w:rPr>
        <w:t xml:space="preserve"> (</w:t>
      </w:r>
      <w:r>
        <w:rPr>
          <w:rFonts w:cs="Arial"/>
          <w:b/>
          <w:bCs/>
          <w:szCs w:val="20"/>
        </w:rPr>
        <w:t xml:space="preserve">Chaudhary, S., Ray, R., and Glass, B., </w:t>
      </w:r>
      <w:r w:rsidRPr="00AD0F30">
        <w:rPr>
          <w:rFonts w:cs="Arial"/>
          <w:b/>
          <w:bCs/>
          <w:szCs w:val="20"/>
        </w:rPr>
        <w:t>2021)</w:t>
      </w:r>
      <w:r w:rsidRPr="00AD0F30">
        <w:rPr>
          <w:rFonts w:cs="Arial"/>
          <w:szCs w:val="20"/>
        </w:rPr>
        <w:t xml:space="preserve"> </w:t>
      </w:r>
    </w:p>
    <w:p w14:paraId="7ECA41D8" w14:textId="77777777" w:rsidR="00314035" w:rsidRDefault="00314035" w:rsidP="00314035">
      <w:pPr>
        <w:pStyle w:val="ListParagraph"/>
        <w:numPr>
          <w:ilvl w:val="0"/>
          <w:numId w:val="5"/>
        </w:numPr>
        <w:rPr>
          <w:rFonts w:cs="Arial"/>
          <w:szCs w:val="20"/>
        </w:rPr>
      </w:pPr>
      <w:r>
        <w:rPr>
          <w:rFonts w:cs="Arial"/>
          <w:szCs w:val="20"/>
        </w:rPr>
        <w:t>S</w:t>
      </w:r>
      <w:r w:rsidRPr="004F2077">
        <w:rPr>
          <w:rFonts w:cs="Arial"/>
          <w:szCs w:val="20"/>
        </w:rPr>
        <w:t xml:space="preserve">coping review aimed to explore the role of pharmacists in transgender healthcare. </w:t>
      </w:r>
    </w:p>
    <w:p w14:paraId="304CF96D" w14:textId="77777777" w:rsidR="00314035" w:rsidRDefault="00314035" w:rsidP="00314035">
      <w:pPr>
        <w:pStyle w:val="ListParagraph"/>
        <w:numPr>
          <w:ilvl w:val="0"/>
          <w:numId w:val="5"/>
        </w:numPr>
        <w:rPr>
          <w:rFonts w:cs="Arial"/>
          <w:szCs w:val="20"/>
        </w:rPr>
      </w:pPr>
      <w:r w:rsidRPr="004F2077">
        <w:rPr>
          <w:rFonts w:cs="Arial"/>
          <w:szCs w:val="20"/>
        </w:rPr>
        <w:lastRenderedPageBreak/>
        <w:t xml:space="preserve">15 studies, all from the USA met the selection criteria </w:t>
      </w:r>
      <w:r>
        <w:rPr>
          <w:rFonts w:cs="Arial"/>
          <w:szCs w:val="20"/>
        </w:rPr>
        <w:t>for</w:t>
      </w:r>
      <w:r w:rsidRPr="004F2077">
        <w:rPr>
          <w:rFonts w:cs="Arial"/>
          <w:szCs w:val="20"/>
        </w:rPr>
        <w:t xml:space="preserve"> this review. Study types included empirical research, practice reports and opinion pieces such as commentaries, editorials, and reports. </w:t>
      </w:r>
    </w:p>
    <w:p w14:paraId="14098B1D" w14:textId="77777777" w:rsidR="00314035" w:rsidRDefault="00314035" w:rsidP="00314035">
      <w:pPr>
        <w:pStyle w:val="ListParagraph"/>
        <w:numPr>
          <w:ilvl w:val="0"/>
          <w:numId w:val="5"/>
        </w:numPr>
        <w:rPr>
          <w:rFonts w:cs="Arial"/>
          <w:szCs w:val="20"/>
        </w:rPr>
      </w:pPr>
      <w:r w:rsidRPr="004F2077">
        <w:rPr>
          <w:rFonts w:cs="Arial"/>
          <w:szCs w:val="20"/>
        </w:rPr>
        <w:t xml:space="preserve">Pharmacists were found to practise in two different care settings: community and interdisciplinary clinics, performing various roles in transgender healthcare, including patient education and counselling, management of cross-sex hormonal therapy, patient advocacy and provision of preventative care. They were also responsible for the provision of culturally sensitive care in an inclusive and welcoming environment. </w:t>
      </w:r>
    </w:p>
    <w:p w14:paraId="4D2A9A12" w14:textId="77777777" w:rsidR="00314035" w:rsidRDefault="00314035" w:rsidP="00314035">
      <w:pPr>
        <w:pStyle w:val="ListParagraph"/>
        <w:numPr>
          <w:ilvl w:val="0"/>
          <w:numId w:val="5"/>
        </w:numPr>
        <w:rPr>
          <w:rFonts w:cs="Arial"/>
          <w:szCs w:val="20"/>
        </w:rPr>
      </w:pPr>
      <w:r w:rsidRPr="004F2077">
        <w:rPr>
          <w:rFonts w:cs="Arial"/>
          <w:szCs w:val="20"/>
        </w:rPr>
        <w:t>Although pharmacists considered their role important, they lacked confidence in their knowledge to provide appropriate care to this patient group.</w:t>
      </w:r>
    </w:p>
    <w:p w14:paraId="35652FB4" w14:textId="17D54A0B" w:rsidR="0052764A" w:rsidRPr="00314035" w:rsidRDefault="00314035" w:rsidP="0052764A">
      <w:pPr>
        <w:pStyle w:val="ListParagraph"/>
        <w:numPr>
          <w:ilvl w:val="0"/>
          <w:numId w:val="5"/>
        </w:numPr>
        <w:rPr>
          <w:rFonts w:cs="Arial"/>
          <w:szCs w:val="20"/>
        </w:rPr>
      </w:pPr>
      <w:r w:rsidRPr="004F2077">
        <w:rPr>
          <w:rFonts w:cs="Arial"/>
          <w:szCs w:val="20"/>
        </w:rPr>
        <w:t>This review highlighted that there is a need for education in transgender care for both pharmacists and pharmacy students, so that they are both confident and comfortable to play a meaningful role in transgender care.</w:t>
      </w:r>
    </w:p>
    <w:p w14:paraId="422A8FBD" w14:textId="18613AE3" w:rsidR="000E6FC2" w:rsidRDefault="000E6FC2" w:rsidP="000E6FC2">
      <w:pPr>
        <w:rPr>
          <w:rFonts w:cs="Arial"/>
          <w:szCs w:val="20"/>
        </w:rPr>
      </w:pPr>
    </w:p>
    <w:sectPr w:rsidR="000E6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7B8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9070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BA3458"/>
    <w:multiLevelType w:val="multilevel"/>
    <w:tmpl w:val="99BE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A5FAD"/>
    <w:multiLevelType w:val="hybridMultilevel"/>
    <w:tmpl w:val="003A08F2"/>
    <w:lvl w:ilvl="0" w:tplc="8DD47446">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C828CC"/>
    <w:multiLevelType w:val="multilevel"/>
    <w:tmpl w:val="A8A44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864DB6"/>
    <w:multiLevelType w:val="hybridMultilevel"/>
    <w:tmpl w:val="B4ACDDF6"/>
    <w:lvl w:ilvl="0" w:tplc="FFFFFFFF">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491157FD"/>
    <w:multiLevelType w:val="multilevel"/>
    <w:tmpl w:val="90BC1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522A44"/>
    <w:multiLevelType w:val="hybridMultilevel"/>
    <w:tmpl w:val="62D4F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DE33B9"/>
    <w:multiLevelType w:val="multilevel"/>
    <w:tmpl w:val="E9CCE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E35A9D"/>
    <w:multiLevelType w:val="multilevel"/>
    <w:tmpl w:val="1ACE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79254F"/>
    <w:multiLevelType w:val="multilevel"/>
    <w:tmpl w:val="1B3E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327C19"/>
    <w:multiLevelType w:val="multilevel"/>
    <w:tmpl w:val="2A58E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843439"/>
    <w:multiLevelType w:val="multilevel"/>
    <w:tmpl w:val="650E6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85979333">
    <w:abstractNumId w:val="12"/>
  </w:num>
  <w:num w:numId="2" w16cid:durableId="1525746805">
    <w:abstractNumId w:val="11"/>
  </w:num>
  <w:num w:numId="3" w16cid:durableId="1780875967">
    <w:abstractNumId w:val="6"/>
  </w:num>
  <w:num w:numId="4" w16cid:durableId="2017729928">
    <w:abstractNumId w:val="4"/>
  </w:num>
  <w:num w:numId="5" w16cid:durableId="1921984459">
    <w:abstractNumId w:val="3"/>
  </w:num>
  <w:num w:numId="6" w16cid:durableId="210267895">
    <w:abstractNumId w:val="5"/>
  </w:num>
  <w:num w:numId="7" w16cid:durableId="17246264">
    <w:abstractNumId w:val="0"/>
  </w:num>
  <w:num w:numId="8" w16cid:durableId="920338104">
    <w:abstractNumId w:val="8"/>
  </w:num>
  <w:num w:numId="9" w16cid:durableId="1132862802">
    <w:abstractNumId w:val="9"/>
  </w:num>
  <w:num w:numId="10" w16cid:durableId="259026730">
    <w:abstractNumId w:val="2"/>
  </w:num>
  <w:num w:numId="11" w16cid:durableId="799305689">
    <w:abstractNumId w:val="10"/>
  </w:num>
  <w:num w:numId="12" w16cid:durableId="666594858">
    <w:abstractNumId w:val="1"/>
  </w:num>
  <w:num w:numId="13" w16cid:durableId="1568417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41"/>
    <w:rsid w:val="000365A9"/>
    <w:rsid w:val="00070732"/>
    <w:rsid w:val="000E6FC2"/>
    <w:rsid w:val="001B1941"/>
    <w:rsid w:val="00225B76"/>
    <w:rsid w:val="002C152B"/>
    <w:rsid w:val="002D18CD"/>
    <w:rsid w:val="00312124"/>
    <w:rsid w:val="00314035"/>
    <w:rsid w:val="00391899"/>
    <w:rsid w:val="003921A7"/>
    <w:rsid w:val="003B12AB"/>
    <w:rsid w:val="003F6D83"/>
    <w:rsid w:val="00423DEF"/>
    <w:rsid w:val="004C25F6"/>
    <w:rsid w:val="004D6B35"/>
    <w:rsid w:val="004F2077"/>
    <w:rsid w:val="0052764A"/>
    <w:rsid w:val="00540FD3"/>
    <w:rsid w:val="005B1880"/>
    <w:rsid w:val="005B22CB"/>
    <w:rsid w:val="005E6D91"/>
    <w:rsid w:val="005F5184"/>
    <w:rsid w:val="006552BF"/>
    <w:rsid w:val="00662326"/>
    <w:rsid w:val="00662503"/>
    <w:rsid w:val="006642A3"/>
    <w:rsid w:val="006727A2"/>
    <w:rsid w:val="00681AF0"/>
    <w:rsid w:val="006A41EC"/>
    <w:rsid w:val="00710EAA"/>
    <w:rsid w:val="00741DDF"/>
    <w:rsid w:val="00745248"/>
    <w:rsid w:val="007B5BDC"/>
    <w:rsid w:val="007D2405"/>
    <w:rsid w:val="0094302B"/>
    <w:rsid w:val="00951546"/>
    <w:rsid w:val="009859E1"/>
    <w:rsid w:val="009B56E1"/>
    <w:rsid w:val="00A132CA"/>
    <w:rsid w:val="00A13514"/>
    <w:rsid w:val="00A57BCE"/>
    <w:rsid w:val="00AD0F30"/>
    <w:rsid w:val="00AD412A"/>
    <w:rsid w:val="00AF52D4"/>
    <w:rsid w:val="00B12E34"/>
    <w:rsid w:val="00B61249"/>
    <w:rsid w:val="00B815E5"/>
    <w:rsid w:val="00B97622"/>
    <w:rsid w:val="00C03C94"/>
    <w:rsid w:val="00C12E24"/>
    <w:rsid w:val="00C32D9F"/>
    <w:rsid w:val="00C40385"/>
    <w:rsid w:val="00C77A96"/>
    <w:rsid w:val="00D23FED"/>
    <w:rsid w:val="00DC76DC"/>
    <w:rsid w:val="00DF2178"/>
    <w:rsid w:val="00E23E5F"/>
    <w:rsid w:val="00E74C2D"/>
    <w:rsid w:val="00EB6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9CDC"/>
  <w15:chartTrackingRefBased/>
  <w15:docId w15:val="{38296C29-59CE-41EC-AD49-B490B2FE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A2"/>
    <w:rPr>
      <w:rFonts w:ascii="Arial" w:hAnsi="Arial"/>
      <w:sz w:val="20"/>
    </w:rPr>
  </w:style>
  <w:style w:type="paragraph" w:styleId="Heading1">
    <w:name w:val="heading 1"/>
    <w:basedOn w:val="Normal"/>
    <w:next w:val="Normal"/>
    <w:link w:val="Heading1Char"/>
    <w:uiPriority w:val="9"/>
    <w:qFormat/>
    <w:rsid w:val="001B1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1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19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9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19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19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19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19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19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1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941"/>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1B1941"/>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1B1941"/>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1B1941"/>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1B1941"/>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1B1941"/>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1B1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9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941"/>
    <w:pPr>
      <w:spacing w:before="160"/>
      <w:jc w:val="center"/>
    </w:pPr>
    <w:rPr>
      <w:i/>
      <w:iCs/>
      <w:color w:val="404040" w:themeColor="text1" w:themeTint="BF"/>
    </w:rPr>
  </w:style>
  <w:style w:type="character" w:customStyle="1" w:styleId="QuoteChar">
    <w:name w:val="Quote Char"/>
    <w:basedOn w:val="DefaultParagraphFont"/>
    <w:link w:val="Quote"/>
    <w:uiPriority w:val="29"/>
    <w:rsid w:val="001B1941"/>
    <w:rPr>
      <w:rFonts w:ascii="Arial" w:hAnsi="Arial"/>
      <w:i/>
      <w:iCs/>
      <w:color w:val="404040" w:themeColor="text1" w:themeTint="BF"/>
      <w:sz w:val="20"/>
    </w:rPr>
  </w:style>
  <w:style w:type="paragraph" w:styleId="ListParagraph">
    <w:name w:val="List Paragraph"/>
    <w:basedOn w:val="Normal"/>
    <w:uiPriority w:val="34"/>
    <w:qFormat/>
    <w:rsid w:val="001B1941"/>
    <w:pPr>
      <w:ind w:left="720"/>
      <w:contextualSpacing/>
    </w:pPr>
  </w:style>
  <w:style w:type="character" w:styleId="IntenseEmphasis">
    <w:name w:val="Intense Emphasis"/>
    <w:basedOn w:val="DefaultParagraphFont"/>
    <w:uiPriority w:val="21"/>
    <w:qFormat/>
    <w:rsid w:val="001B1941"/>
    <w:rPr>
      <w:i/>
      <w:iCs/>
      <w:color w:val="0F4761" w:themeColor="accent1" w:themeShade="BF"/>
    </w:rPr>
  </w:style>
  <w:style w:type="paragraph" w:styleId="IntenseQuote">
    <w:name w:val="Intense Quote"/>
    <w:basedOn w:val="Normal"/>
    <w:next w:val="Normal"/>
    <w:link w:val="IntenseQuoteChar"/>
    <w:uiPriority w:val="30"/>
    <w:qFormat/>
    <w:rsid w:val="001B1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941"/>
    <w:rPr>
      <w:rFonts w:ascii="Arial" w:hAnsi="Arial"/>
      <w:i/>
      <w:iCs/>
      <w:color w:val="0F4761" w:themeColor="accent1" w:themeShade="BF"/>
      <w:sz w:val="20"/>
    </w:rPr>
  </w:style>
  <w:style w:type="character" w:styleId="IntenseReference">
    <w:name w:val="Intense Reference"/>
    <w:basedOn w:val="DefaultParagraphFont"/>
    <w:uiPriority w:val="32"/>
    <w:qFormat/>
    <w:rsid w:val="001B1941"/>
    <w:rPr>
      <w:b/>
      <w:bCs/>
      <w:smallCaps/>
      <w:color w:val="0F4761" w:themeColor="accent1" w:themeShade="BF"/>
      <w:spacing w:val="5"/>
    </w:rPr>
  </w:style>
  <w:style w:type="character" w:styleId="Hyperlink">
    <w:name w:val="Hyperlink"/>
    <w:basedOn w:val="DefaultParagraphFont"/>
    <w:uiPriority w:val="99"/>
    <w:unhideWhenUsed/>
    <w:rsid w:val="001B1941"/>
    <w:rPr>
      <w:color w:val="467886" w:themeColor="hyperlink"/>
      <w:u w:val="single"/>
    </w:rPr>
  </w:style>
  <w:style w:type="character" w:styleId="UnresolvedMention">
    <w:name w:val="Unresolved Mention"/>
    <w:basedOn w:val="DefaultParagraphFont"/>
    <w:uiPriority w:val="99"/>
    <w:semiHidden/>
    <w:unhideWhenUsed/>
    <w:rsid w:val="001B1941"/>
    <w:rPr>
      <w:color w:val="605E5C"/>
      <w:shd w:val="clear" w:color="auto" w:fill="E1DFDD"/>
    </w:rPr>
  </w:style>
  <w:style w:type="character" w:styleId="FollowedHyperlink">
    <w:name w:val="FollowedHyperlink"/>
    <w:basedOn w:val="DefaultParagraphFont"/>
    <w:uiPriority w:val="99"/>
    <w:semiHidden/>
    <w:unhideWhenUsed/>
    <w:rsid w:val="001B1941"/>
    <w:rPr>
      <w:color w:val="96607D" w:themeColor="followedHyperlink"/>
      <w:u w:val="single"/>
    </w:rPr>
  </w:style>
  <w:style w:type="character" w:customStyle="1" w:styleId="normaltextrun">
    <w:name w:val="normaltextrun"/>
    <w:basedOn w:val="DefaultParagraphFont"/>
    <w:rsid w:val="009859E1"/>
  </w:style>
  <w:style w:type="table" w:styleId="TableGrid">
    <w:name w:val="Table Grid"/>
    <w:basedOn w:val="TableNormal"/>
    <w:uiPriority w:val="39"/>
    <w:rsid w:val="0039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B6733"/>
    <w:pPr>
      <w:spacing w:after="0" w:line="240" w:lineRule="auto"/>
    </w:pPr>
    <w:rPr>
      <w:rFonts w:ascii="Arial" w:hAnsi="Arial"/>
      <w:sz w:val="20"/>
    </w:rPr>
  </w:style>
  <w:style w:type="paragraph" w:styleId="Revision">
    <w:name w:val="Revision"/>
    <w:hidden/>
    <w:uiPriority w:val="99"/>
    <w:semiHidden/>
    <w:rsid w:val="005B22CB"/>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E23E5F"/>
    <w:rPr>
      <w:sz w:val="16"/>
      <w:szCs w:val="16"/>
    </w:rPr>
  </w:style>
  <w:style w:type="paragraph" w:styleId="CommentText">
    <w:name w:val="annotation text"/>
    <w:basedOn w:val="Normal"/>
    <w:link w:val="CommentTextChar"/>
    <w:uiPriority w:val="99"/>
    <w:unhideWhenUsed/>
    <w:rsid w:val="00E23E5F"/>
    <w:pPr>
      <w:spacing w:line="240" w:lineRule="auto"/>
    </w:pPr>
    <w:rPr>
      <w:szCs w:val="20"/>
    </w:rPr>
  </w:style>
  <w:style w:type="character" w:customStyle="1" w:styleId="CommentTextChar">
    <w:name w:val="Comment Text Char"/>
    <w:basedOn w:val="DefaultParagraphFont"/>
    <w:link w:val="CommentText"/>
    <w:uiPriority w:val="99"/>
    <w:rsid w:val="00E23E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23E5F"/>
    <w:rPr>
      <w:b/>
      <w:bCs/>
    </w:rPr>
  </w:style>
  <w:style w:type="character" w:customStyle="1" w:styleId="CommentSubjectChar">
    <w:name w:val="Comment Subject Char"/>
    <w:basedOn w:val="CommentTextChar"/>
    <w:link w:val="CommentSubject"/>
    <w:uiPriority w:val="99"/>
    <w:semiHidden/>
    <w:rsid w:val="00E23E5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687">
      <w:bodyDiv w:val="1"/>
      <w:marLeft w:val="0"/>
      <w:marRight w:val="0"/>
      <w:marTop w:val="0"/>
      <w:marBottom w:val="0"/>
      <w:divBdr>
        <w:top w:val="none" w:sz="0" w:space="0" w:color="auto"/>
        <w:left w:val="none" w:sz="0" w:space="0" w:color="auto"/>
        <w:bottom w:val="none" w:sz="0" w:space="0" w:color="auto"/>
        <w:right w:val="none" w:sz="0" w:space="0" w:color="auto"/>
      </w:divBdr>
    </w:div>
    <w:div w:id="98718272">
      <w:bodyDiv w:val="1"/>
      <w:marLeft w:val="0"/>
      <w:marRight w:val="0"/>
      <w:marTop w:val="0"/>
      <w:marBottom w:val="0"/>
      <w:divBdr>
        <w:top w:val="none" w:sz="0" w:space="0" w:color="auto"/>
        <w:left w:val="none" w:sz="0" w:space="0" w:color="auto"/>
        <w:bottom w:val="none" w:sz="0" w:space="0" w:color="auto"/>
        <w:right w:val="none" w:sz="0" w:space="0" w:color="auto"/>
      </w:divBdr>
      <w:divsChild>
        <w:div w:id="1589071529">
          <w:marLeft w:val="0"/>
          <w:marRight w:val="0"/>
          <w:marTop w:val="0"/>
          <w:marBottom w:val="0"/>
          <w:divBdr>
            <w:top w:val="none" w:sz="0" w:space="0" w:color="auto"/>
            <w:left w:val="none" w:sz="0" w:space="0" w:color="auto"/>
            <w:bottom w:val="none" w:sz="0" w:space="0" w:color="auto"/>
            <w:right w:val="none" w:sz="0" w:space="0" w:color="auto"/>
          </w:divBdr>
          <w:divsChild>
            <w:div w:id="2068336968">
              <w:marLeft w:val="0"/>
              <w:marRight w:val="0"/>
              <w:marTop w:val="0"/>
              <w:marBottom w:val="0"/>
              <w:divBdr>
                <w:top w:val="none" w:sz="0" w:space="0" w:color="auto"/>
                <w:left w:val="none" w:sz="0" w:space="0" w:color="auto"/>
                <w:bottom w:val="none" w:sz="0" w:space="0" w:color="auto"/>
                <w:right w:val="none" w:sz="0" w:space="0" w:color="auto"/>
              </w:divBdr>
              <w:divsChild>
                <w:div w:id="17781355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12440813">
          <w:marLeft w:val="0"/>
          <w:marRight w:val="0"/>
          <w:marTop w:val="0"/>
          <w:marBottom w:val="0"/>
          <w:divBdr>
            <w:top w:val="none" w:sz="0" w:space="0" w:color="auto"/>
            <w:left w:val="none" w:sz="0" w:space="0" w:color="auto"/>
            <w:bottom w:val="none" w:sz="0" w:space="0" w:color="auto"/>
            <w:right w:val="none" w:sz="0" w:space="0" w:color="auto"/>
          </w:divBdr>
          <w:divsChild>
            <w:div w:id="539245121">
              <w:marLeft w:val="0"/>
              <w:marRight w:val="0"/>
              <w:marTop w:val="0"/>
              <w:marBottom w:val="0"/>
              <w:divBdr>
                <w:top w:val="none" w:sz="0" w:space="0" w:color="auto"/>
                <w:left w:val="none" w:sz="0" w:space="0" w:color="auto"/>
                <w:bottom w:val="none" w:sz="0" w:space="0" w:color="auto"/>
                <w:right w:val="none" w:sz="0" w:space="0" w:color="auto"/>
              </w:divBdr>
              <w:divsChild>
                <w:div w:id="2045278904">
                  <w:marLeft w:val="0"/>
                  <w:marRight w:val="0"/>
                  <w:marTop w:val="0"/>
                  <w:marBottom w:val="0"/>
                  <w:divBdr>
                    <w:top w:val="none" w:sz="0" w:space="0" w:color="auto"/>
                    <w:left w:val="none" w:sz="0" w:space="0" w:color="auto"/>
                    <w:bottom w:val="none" w:sz="0" w:space="0" w:color="auto"/>
                    <w:right w:val="none" w:sz="0" w:space="0" w:color="auto"/>
                  </w:divBdr>
                  <w:divsChild>
                    <w:div w:id="1545168643">
                      <w:marLeft w:val="0"/>
                      <w:marRight w:val="0"/>
                      <w:marTop w:val="0"/>
                      <w:marBottom w:val="0"/>
                      <w:divBdr>
                        <w:top w:val="none" w:sz="0" w:space="0" w:color="auto"/>
                        <w:left w:val="none" w:sz="0" w:space="0" w:color="auto"/>
                        <w:bottom w:val="none" w:sz="0" w:space="0" w:color="auto"/>
                        <w:right w:val="none" w:sz="0" w:space="0" w:color="auto"/>
                      </w:divBdr>
                      <w:divsChild>
                        <w:div w:id="2011712346">
                          <w:marLeft w:val="0"/>
                          <w:marRight w:val="0"/>
                          <w:marTop w:val="0"/>
                          <w:marBottom w:val="0"/>
                          <w:divBdr>
                            <w:top w:val="none" w:sz="0" w:space="0" w:color="auto"/>
                            <w:left w:val="none" w:sz="0" w:space="0" w:color="auto"/>
                            <w:bottom w:val="none" w:sz="0" w:space="0" w:color="auto"/>
                            <w:right w:val="none" w:sz="0" w:space="0" w:color="auto"/>
                          </w:divBdr>
                          <w:divsChild>
                            <w:div w:id="1738434155">
                              <w:marLeft w:val="0"/>
                              <w:marRight w:val="0"/>
                              <w:marTop w:val="0"/>
                              <w:marBottom w:val="0"/>
                              <w:divBdr>
                                <w:top w:val="none" w:sz="0" w:space="0" w:color="auto"/>
                                <w:left w:val="none" w:sz="0" w:space="0" w:color="auto"/>
                                <w:bottom w:val="none" w:sz="0" w:space="0" w:color="auto"/>
                                <w:right w:val="none" w:sz="0" w:space="0" w:color="auto"/>
                              </w:divBdr>
                            </w:div>
                            <w:div w:id="17327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3998">
      <w:bodyDiv w:val="1"/>
      <w:marLeft w:val="0"/>
      <w:marRight w:val="0"/>
      <w:marTop w:val="0"/>
      <w:marBottom w:val="0"/>
      <w:divBdr>
        <w:top w:val="none" w:sz="0" w:space="0" w:color="auto"/>
        <w:left w:val="none" w:sz="0" w:space="0" w:color="auto"/>
        <w:bottom w:val="none" w:sz="0" w:space="0" w:color="auto"/>
        <w:right w:val="none" w:sz="0" w:space="0" w:color="auto"/>
      </w:divBdr>
    </w:div>
    <w:div w:id="276716783">
      <w:bodyDiv w:val="1"/>
      <w:marLeft w:val="0"/>
      <w:marRight w:val="0"/>
      <w:marTop w:val="0"/>
      <w:marBottom w:val="0"/>
      <w:divBdr>
        <w:top w:val="none" w:sz="0" w:space="0" w:color="auto"/>
        <w:left w:val="none" w:sz="0" w:space="0" w:color="auto"/>
        <w:bottom w:val="none" w:sz="0" w:space="0" w:color="auto"/>
        <w:right w:val="none" w:sz="0" w:space="0" w:color="auto"/>
      </w:divBdr>
    </w:div>
    <w:div w:id="387923798">
      <w:bodyDiv w:val="1"/>
      <w:marLeft w:val="0"/>
      <w:marRight w:val="0"/>
      <w:marTop w:val="0"/>
      <w:marBottom w:val="0"/>
      <w:divBdr>
        <w:top w:val="none" w:sz="0" w:space="0" w:color="auto"/>
        <w:left w:val="none" w:sz="0" w:space="0" w:color="auto"/>
        <w:bottom w:val="none" w:sz="0" w:space="0" w:color="auto"/>
        <w:right w:val="none" w:sz="0" w:space="0" w:color="auto"/>
      </w:divBdr>
    </w:div>
    <w:div w:id="403258990">
      <w:bodyDiv w:val="1"/>
      <w:marLeft w:val="0"/>
      <w:marRight w:val="0"/>
      <w:marTop w:val="0"/>
      <w:marBottom w:val="0"/>
      <w:divBdr>
        <w:top w:val="none" w:sz="0" w:space="0" w:color="auto"/>
        <w:left w:val="none" w:sz="0" w:space="0" w:color="auto"/>
        <w:bottom w:val="none" w:sz="0" w:space="0" w:color="auto"/>
        <w:right w:val="none" w:sz="0" w:space="0" w:color="auto"/>
      </w:divBdr>
      <w:divsChild>
        <w:div w:id="2050450263">
          <w:marLeft w:val="0"/>
          <w:marRight w:val="0"/>
          <w:marTop w:val="0"/>
          <w:marBottom w:val="0"/>
          <w:divBdr>
            <w:top w:val="none" w:sz="0" w:space="0" w:color="auto"/>
            <w:left w:val="none" w:sz="0" w:space="0" w:color="auto"/>
            <w:bottom w:val="none" w:sz="0" w:space="0" w:color="auto"/>
            <w:right w:val="none" w:sz="0" w:space="0" w:color="auto"/>
          </w:divBdr>
          <w:divsChild>
            <w:div w:id="1610045986">
              <w:marLeft w:val="0"/>
              <w:marRight w:val="0"/>
              <w:marTop w:val="0"/>
              <w:marBottom w:val="0"/>
              <w:divBdr>
                <w:top w:val="none" w:sz="0" w:space="0" w:color="auto"/>
                <w:left w:val="none" w:sz="0" w:space="0" w:color="auto"/>
                <w:bottom w:val="none" w:sz="0" w:space="0" w:color="auto"/>
                <w:right w:val="none" w:sz="0" w:space="0" w:color="auto"/>
              </w:divBdr>
              <w:divsChild>
                <w:div w:id="10594041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44957788">
          <w:marLeft w:val="0"/>
          <w:marRight w:val="0"/>
          <w:marTop w:val="0"/>
          <w:marBottom w:val="0"/>
          <w:divBdr>
            <w:top w:val="none" w:sz="0" w:space="0" w:color="auto"/>
            <w:left w:val="none" w:sz="0" w:space="0" w:color="auto"/>
            <w:bottom w:val="none" w:sz="0" w:space="0" w:color="auto"/>
            <w:right w:val="none" w:sz="0" w:space="0" w:color="auto"/>
          </w:divBdr>
          <w:divsChild>
            <w:div w:id="1956986108">
              <w:marLeft w:val="0"/>
              <w:marRight w:val="0"/>
              <w:marTop w:val="0"/>
              <w:marBottom w:val="0"/>
              <w:divBdr>
                <w:top w:val="none" w:sz="0" w:space="0" w:color="auto"/>
                <w:left w:val="none" w:sz="0" w:space="0" w:color="auto"/>
                <w:bottom w:val="none" w:sz="0" w:space="0" w:color="auto"/>
                <w:right w:val="none" w:sz="0" w:space="0" w:color="auto"/>
              </w:divBdr>
              <w:divsChild>
                <w:div w:id="1776055981">
                  <w:marLeft w:val="0"/>
                  <w:marRight w:val="0"/>
                  <w:marTop w:val="0"/>
                  <w:marBottom w:val="0"/>
                  <w:divBdr>
                    <w:top w:val="none" w:sz="0" w:space="0" w:color="auto"/>
                    <w:left w:val="none" w:sz="0" w:space="0" w:color="auto"/>
                    <w:bottom w:val="none" w:sz="0" w:space="0" w:color="auto"/>
                    <w:right w:val="none" w:sz="0" w:space="0" w:color="auto"/>
                  </w:divBdr>
                  <w:divsChild>
                    <w:div w:id="364789837">
                      <w:marLeft w:val="0"/>
                      <w:marRight w:val="0"/>
                      <w:marTop w:val="0"/>
                      <w:marBottom w:val="0"/>
                      <w:divBdr>
                        <w:top w:val="none" w:sz="0" w:space="0" w:color="auto"/>
                        <w:left w:val="none" w:sz="0" w:space="0" w:color="auto"/>
                        <w:bottom w:val="none" w:sz="0" w:space="0" w:color="auto"/>
                        <w:right w:val="none" w:sz="0" w:space="0" w:color="auto"/>
                      </w:divBdr>
                      <w:divsChild>
                        <w:div w:id="281575253">
                          <w:marLeft w:val="0"/>
                          <w:marRight w:val="0"/>
                          <w:marTop w:val="0"/>
                          <w:marBottom w:val="0"/>
                          <w:divBdr>
                            <w:top w:val="none" w:sz="0" w:space="0" w:color="auto"/>
                            <w:left w:val="none" w:sz="0" w:space="0" w:color="auto"/>
                            <w:bottom w:val="none" w:sz="0" w:space="0" w:color="auto"/>
                            <w:right w:val="none" w:sz="0" w:space="0" w:color="auto"/>
                          </w:divBdr>
                          <w:divsChild>
                            <w:div w:id="494686581">
                              <w:marLeft w:val="0"/>
                              <w:marRight w:val="0"/>
                              <w:marTop w:val="0"/>
                              <w:marBottom w:val="0"/>
                              <w:divBdr>
                                <w:top w:val="none" w:sz="0" w:space="0" w:color="auto"/>
                                <w:left w:val="none" w:sz="0" w:space="0" w:color="auto"/>
                                <w:bottom w:val="none" w:sz="0" w:space="0" w:color="auto"/>
                                <w:right w:val="none" w:sz="0" w:space="0" w:color="auto"/>
                              </w:divBdr>
                            </w:div>
                            <w:div w:id="13639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704639">
      <w:bodyDiv w:val="1"/>
      <w:marLeft w:val="0"/>
      <w:marRight w:val="0"/>
      <w:marTop w:val="0"/>
      <w:marBottom w:val="0"/>
      <w:divBdr>
        <w:top w:val="none" w:sz="0" w:space="0" w:color="auto"/>
        <w:left w:val="none" w:sz="0" w:space="0" w:color="auto"/>
        <w:bottom w:val="none" w:sz="0" w:space="0" w:color="auto"/>
        <w:right w:val="none" w:sz="0" w:space="0" w:color="auto"/>
      </w:divBdr>
      <w:divsChild>
        <w:div w:id="168260336">
          <w:marLeft w:val="0"/>
          <w:marRight w:val="0"/>
          <w:marTop w:val="0"/>
          <w:marBottom w:val="0"/>
          <w:divBdr>
            <w:top w:val="none" w:sz="0" w:space="0" w:color="auto"/>
            <w:left w:val="none" w:sz="0" w:space="0" w:color="auto"/>
            <w:bottom w:val="none" w:sz="0" w:space="0" w:color="auto"/>
            <w:right w:val="none" w:sz="0" w:space="0" w:color="auto"/>
          </w:divBdr>
          <w:divsChild>
            <w:div w:id="341010069">
              <w:marLeft w:val="0"/>
              <w:marRight w:val="0"/>
              <w:marTop w:val="0"/>
              <w:marBottom w:val="240"/>
              <w:divBdr>
                <w:top w:val="none" w:sz="0" w:space="0" w:color="auto"/>
                <w:left w:val="none" w:sz="0" w:space="0" w:color="auto"/>
                <w:bottom w:val="none" w:sz="0" w:space="0" w:color="auto"/>
                <w:right w:val="none" w:sz="0" w:space="0" w:color="auto"/>
              </w:divBdr>
            </w:div>
          </w:divsChild>
        </w:div>
        <w:div w:id="1120491003">
          <w:marLeft w:val="0"/>
          <w:marRight w:val="0"/>
          <w:marTop w:val="0"/>
          <w:marBottom w:val="0"/>
          <w:divBdr>
            <w:top w:val="none" w:sz="0" w:space="0" w:color="auto"/>
            <w:left w:val="none" w:sz="0" w:space="0" w:color="auto"/>
            <w:bottom w:val="none" w:sz="0" w:space="0" w:color="auto"/>
            <w:right w:val="none" w:sz="0" w:space="0" w:color="auto"/>
          </w:divBdr>
          <w:divsChild>
            <w:div w:id="683072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75944213">
      <w:bodyDiv w:val="1"/>
      <w:marLeft w:val="0"/>
      <w:marRight w:val="0"/>
      <w:marTop w:val="0"/>
      <w:marBottom w:val="0"/>
      <w:divBdr>
        <w:top w:val="none" w:sz="0" w:space="0" w:color="auto"/>
        <w:left w:val="none" w:sz="0" w:space="0" w:color="auto"/>
        <w:bottom w:val="none" w:sz="0" w:space="0" w:color="auto"/>
        <w:right w:val="none" w:sz="0" w:space="0" w:color="auto"/>
      </w:divBdr>
    </w:div>
    <w:div w:id="642660474">
      <w:bodyDiv w:val="1"/>
      <w:marLeft w:val="0"/>
      <w:marRight w:val="0"/>
      <w:marTop w:val="0"/>
      <w:marBottom w:val="0"/>
      <w:divBdr>
        <w:top w:val="none" w:sz="0" w:space="0" w:color="auto"/>
        <w:left w:val="none" w:sz="0" w:space="0" w:color="auto"/>
        <w:bottom w:val="none" w:sz="0" w:space="0" w:color="auto"/>
        <w:right w:val="none" w:sz="0" w:space="0" w:color="auto"/>
      </w:divBdr>
      <w:divsChild>
        <w:div w:id="310603806">
          <w:marLeft w:val="0"/>
          <w:marRight w:val="0"/>
          <w:marTop w:val="0"/>
          <w:marBottom w:val="0"/>
          <w:divBdr>
            <w:top w:val="none" w:sz="0" w:space="0" w:color="auto"/>
            <w:left w:val="none" w:sz="0" w:space="0" w:color="auto"/>
            <w:bottom w:val="none" w:sz="0" w:space="0" w:color="auto"/>
            <w:right w:val="none" w:sz="0" w:space="0" w:color="auto"/>
          </w:divBdr>
          <w:divsChild>
            <w:div w:id="8119926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10349423">
      <w:bodyDiv w:val="1"/>
      <w:marLeft w:val="0"/>
      <w:marRight w:val="0"/>
      <w:marTop w:val="0"/>
      <w:marBottom w:val="0"/>
      <w:divBdr>
        <w:top w:val="none" w:sz="0" w:space="0" w:color="auto"/>
        <w:left w:val="none" w:sz="0" w:space="0" w:color="auto"/>
        <w:bottom w:val="none" w:sz="0" w:space="0" w:color="auto"/>
        <w:right w:val="none" w:sz="0" w:space="0" w:color="auto"/>
      </w:divBdr>
    </w:div>
    <w:div w:id="1045060573">
      <w:bodyDiv w:val="1"/>
      <w:marLeft w:val="0"/>
      <w:marRight w:val="0"/>
      <w:marTop w:val="0"/>
      <w:marBottom w:val="0"/>
      <w:divBdr>
        <w:top w:val="none" w:sz="0" w:space="0" w:color="auto"/>
        <w:left w:val="none" w:sz="0" w:space="0" w:color="auto"/>
        <w:bottom w:val="none" w:sz="0" w:space="0" w:color="auto"/>
        <w:right w:val="none" w:sz="0" w:space="0" w:color="auto"/>
      </w:divBdr>
    </w:div>
    <w:div w:id="1053892821">
      <w:bodyDiv w:val="1"/>
      <w:marLeft w:val="0"/>
      <w:marRight w:val="0"/>
      <w:marTop w:val="0"/>
      <w:marBottom w:val="0"/>
      <w:divBdr>
        <w:top w:val="none" w:sz="0" w:space="0" w:color="auto"/>
        <w:left w:val="none" w:sz="0" w:space="0" w:color="auto"/>
        <w:bottom w:val="none" w:sz="0" w:space="0" w:color="auto"/>
        <w:right w:val="none" w:sz="0" w:space="0" w:color="auto"/>
      </w:divBdr>
    </w:div>
    <w:div w:id="1112700108">
      <w:bodyDiv w:val="1"/>
      <w:marLeft w:val="0"/>
      <w:marRight w:val="0"/>
      <w:marTop w:val="0"/>
      <w:marBottom w:val="0"/>
      <w:divBdr>
        <w:top w:val="none" w:sz="0" w:space="0" w:color="auto"/>
        <w:left w:val="none" w:sz="0" w:space="0" w:color="auto"/>
        <w:bottom w:val="none" w:sz="0" w:space="0" w:color="auto"/>
        <w:right w:val="none" w:sz="0" w:space="0" w:color="auto"/>
      </w:divBdr>
    </w:div>
    <w:div w:id="1121649630">
      <w:bodyDiv w:val="1"/>
      <w:marLeft w:val="0"/>
      <w:marRight w:val="0"/>
      <w:marTop w:val="0"/>
      <w:marBottom w:val="0"/>
      <w:divBdr>
        <w:top w:val="none" w:sz="0" w:space="0" w:color="auto"/>
        <w:left w:val="none" w:sz="0" w:space="0" w:color="auto"/>
        <w:bottom w:val="none" w:sz="0" w:space="0" w:color="auto"/>
        <w:right w:val="none" w:sz="0" w:space="0" w:color="auto"/>
      </w:divBdr>
    </w:div>
    <w:div w:id="1252081840">
      <w:bodyDiv w:val="1"/>
      <w:marLeft w:val="0"/>
      <w:marRight w:val="0"/>
      <w:marTop w:val="0"/>
      <w:marBottom w:val="0"/>
      <w:divBdr>
        <w:top w:val="none" w:sz="0" w:space="0" w:color="auto"/>
        <w:left w:val="none" w:sz="0" w:space="0" w:color="auto"/>
        <w:bottom w:val="none" w:sz="0" w:space="0" w:color="auto"/>
        <w:right w:val="none" w:sz="0" w:space="0" w:color="auto"/>
      </w:divBdr>
      <w:divsChild>
        <w:div w:id="584074483">
          <w:marLeft w:val="0"/>
          <w:marRight w:val="0"/>
          <w:marTop w:val="0"/>
          <w:marBottom w:val="0"/>
          <w:divBdr>
            <w:top w:val="none" w:sz="0" w:space="0" w:color="auto"/>
            <w:left w:val="none" w:sz="0" w:space="0" w:color="auto"/>
            <w:bottom w:val="none" w:sz="0" w:space="0" w:color="auto"/>
            <w:right w:val="none" w:sz="0" w:space="0" w:color="auto"/>
          </w:divBdr>
          <w:divsChild>
            <w:div w:id="212347070">
              <w:marLeft w:val="0"/>
              <w:marRight w:val="0"/>
              <w:marTop w:val="0"/>
              <w:marBottom w:val="240"/>
              <w:divBdr>
                <w:top w:val="none" w:sz="0" w:space="0" w:color="auto"/>
                <w:left w:val="none" w:sz="0" w:space="0" w:color="auto"/>
                <w:bottom w:val="none" w:sz="0" w:space="0" w:color="auto"/>
                <w:right w:val="none" w:sz="0" w:space="0" w:color="auto"/>
              </w:divBdr>
            </w:div>
          </w:divsChild>
        </w:div>
        <w:div w:id="1765765213">
          <w:marLeft w:val="0"/>
          <w:marRight w:val="0"/>
          <w:marTop w:val="0"/>
          <w:marBottom w:val="0"/>
          <w:divBdr>
            <w:top w:val="none" w:sz="0" w:space="0" w:color="auto"/>
            <w:left w:val="none" w:sz="0" w:space="0" w:color="auto"/>
            <w:bottom w:val="none" w:sz="0" w:space="0" w:color="auto"/>
            <w:right w:val="none" w:sz="0" w:space="0" w:color="auto"/>
          </w:divBdr>
          <w:divsChild>
            <w:div w:id="9689738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77712659">
      <w:bodyDiv w:val="1"/>
      <w:marLeft w:val="0"/>
      <w:marRight w:val="0"/>
      <w:marTop w:val="0"/>
      <w:marBottom w:val="0"/>
      <w:divBdr>
        <w:top w:val="none" w:sz="0" w:space="0" w:color="auto"/>
        <w:left w:val="none" w:sz="0" w:space="0" w:color="auto"/>
        <w:bottom w:val="none" w:sz="0" w:space="0" w:color="auto"/>
        <w:right w:val="none" w:sz="0" w:space="0" w:color="auto"/>
      </w:divBdr>
    </w:div>
    <w:div w:id="1359626394">
      <w:bodyDiv w:val="1"/>
      <w:marLeft w:val="0"/>
      <w:marRight w:val="0"/>
      <w:marTop w:val="0"/>
      <w:marBottom w:val="0"/>
      <w:divBdr>
        <w:top w:val="none" w:sz="0" w:space="0" w:color="auto"/>
        <w:left w:val="none" w:sz="0" w:space="0" w:color="auto"/>
        <w:bottom w:val="none" w:sz="0" w:space="0" w:color="auto"/>
        <w:right w:val="none" w:sz="0" w:space="0" w:color="auto"/>
      </w:divBdr>
    </w:div>
    <w:div w:id="1365011469">
      <w:bodyDiv w:val="1"/>
      <w:marLeft w:val="0"/>
      <w:marRight w:val="0"/>
      <w:marTop w:val="0"/>
      <w:marBottom w:val="0"/>
      <w:divBdr>
        <w:top w:val="none" w:sz="0" w:space="0" w:color="auto"/>
        <w:left w:val="none" w:sz="0" w:space="0" w:color="auto"/>
        <w:bottom w:val="none" w:sz="0" w:space="0" w:color="auto"/>
        <w:right w:val="none" w:sz="0" w:space="0" w:color="auto"/>
      </w:divBdr>
    </w:div>
    <w:div w:id="1400439018">
      <w:bodyDiv w:val="1"/>
      <w:marLeft w:val="0"/>
      <w:marRight w:val="0"/>
      <w:marTop w:val="0"/>
      <w:marBottom w:val="0"/>
      <w:divBdr>
        <w:top w:val="none" w:sz="0" w:space="0" w:color="auto"/>
        <w:left w:val="none" w:sz="0" w:space="0" w:color="auto"/>
        <w:bottom w:val="none" w:sz="0" w:space="0" w:color="auto"/>
        <w:right w:val="none" w:sz="0" w:space="0" w:color="auto"/>
      </w:divBdr>
    </w:div>
    <w:div w:id="1419594572">
      <w:bodyDiv w:val="1"/>
      <w:marLeft w:val="0"/>
      <w:marRight w:val="0"/>
      <w:marTop w:val="0"/>
      <w:marBottom w:val="0"/>
      <w:divBdr>
        <w:top w:val="none" w:sz="0" w:space="0" w:color="auto"/>
        <w:left w:val="none" w:sz="0" w:space="0" w:color="auto"/>
        <w:bottom w:val="none" w:sz="0" w:space="0" w:color="auto"/>
        <w:right w:val="none" w:sz="0" w:space="0" w:color="auto"/>
      </w:divBdr>
    </w:div>
    <w:div w:id="1527524008">
      <w:bodyDiv w:val="1"/>
      <w:marLeft w:val="0"/>
      <w:marRight w:val="0"/>
      <w:marTop w:val="0"/>
      <w:marBottom w:val="0"/>
      <w:divBdr>
        <w:top w:val="none" w:sz="0" w:space="0" w:color="auto"/>
        <w:left w:val="none" w:sz="0" w:space="0" w:color="auto"/>
        <w:bottom w:val="none" w:sz="0" w:space="0" w:color="auto"/>
        <w:right w:val="none" w:sz="0" w:space="0" w:color="auto"/>
      </w:divBdr>
    </w:div>
    <w:div w:id="1581215363">
      <w:bodyDiv w:val="1"/>
      <w:marLeft w:val="0"/>
      <w:marRight w:val="0"/>
      <w:marTop w:val="0"/>
      <w:marBottom w:val="0"/>
      <w:divBdr>
        <w:top w:val="none" w:sz="0" w:space="0" w:color="auto"/>
        <w:left w:val="none" w:sz="0" w:space="0" w:color="auto"/>
        <w:bottom w:val="none" w:sz="0" w:space="0" w:color="auto"/>
        <w:right w:val="none" w:sz="0" w:space="0" w:color="auto"/>
      </w:divBdr>
    </w:div>
    <w:div w:id="1648166323">
      <w:bodyDiv w:val="1"/>
      <w:marLeft w:val="0"/>
      <w:marRight w:val="0"/>
      <w:marTop w:val="0"/>
      <w:marBottom w:val="0"/>
      <w:divBdr>
        <w:top w:val="none" w:sz="0" w:space="0" w:color="auto"/>
        <w:left w:val="none" w:sz="0" w:space="0" w:color="auto"/>
        <w:bottom w:val="none" w:sz="0" w:space="0" w:color="auto"/>
        <w:right w:val="none" w:sz="0" w:space="0" w:color="auto"/>
      </w:divBdr>
    </w:div>
    <w:div w:id="1685013909">
      <w:bodyDiv w:val="1"/>
      <w:marLeft w:val="0"/>
      <w:marRight w:val="0"/>
      <w:marTop w:val="0"/>
      <w:marBottom w:val="0"/>
      <w:divBdr>
        <w:top w:val="none" w:sz="0" w:space="0" w:color="auto"/>
        <w:left w:val="none" w:sz="0" w:space="0" w:color="auto"/>
        <w:bottom w:val="none" w:sz="0" w:space="0" w:color="auto"/>
        <w:right w:val="none" w:sz="0" w:space="0" w:color="auto"/>
      </w:divBdr>
    </w:div>
    <w:div w:id="1708138856">
      <w:bodyDiv w:val="1"/>
      <w:marLeft w:val="0"/>
      <w:marRight w:val="0"/>
      <w:marTop w:val="0"/>
      <w:marBottom w:val="0"/>
      <w:divBdr>
        <w:top w:val="none" w:sz="0" w:space="0" w:color="auto"/>
        <w:left w:val="none" w:sz="0" w:space="0" w:color="auto"/>
        <w:bottom w:val="none" w:sz="0" w:space="0" w:color="auto"/>
        <w:right w:val="none" w:sz="0" w:space="0" w:color="auto"/>
      </w:divBdr>
    </w:div>
    <w:div w:id="1856504929">
      <w:bodyDiv w:val="1"/>
      <w:marLeft w:val="0"/>
      <w:marRight w:val="0"/>
      <w:marTop w:val="0"/>
      <w:marBottom w:val="0"/>
      <w:divBdr>
        <w:top w:val="none" w:sz="0" w:space="0" w:color="auto"/>
        <w:left w:val="none" w:sz="0" w:space="0" w:color="auto"/>
        <w:bottom w:val="none" w:sz="0" w:space="0" w:color="auto"/>
        <w:right w:val="none" w:sz="0" w:space="0" w:color="auto"/>
      </w:divBdr>
    </w:div>
    <w:div w:id="1871064294">
      <w:bodyDiv w:val="1"/>
      <w:marLeft w:val="0"/>
      <w:marRight w:val="0"/>
      <w:marTop w:val="0"/>
      <w:marBottom w:val="0"/>
      <w:divBdr>
        <w:top w:val="none" w:sz="0" w:space="0" w:color="auto"/>
        <w:left w:val="none" w:sz="0" w:space="0" w:color="auto"/>
        <w:bottom w:val="none" w:sz="0" w:space="0" w:color="auto"/>
        <w:right w:val="none" w:sz="0" w:space="0" w:color="auto"/>
      </w:divBdr>
    </w:div>
    <w:div w:id="1966041855">
      <w:bodyDiv w:val="1"/>
      <w:marLeft w:val="0"/>
      <w:marRight w:val="0"/>
      <w:marTop w:val="0"/>
      <w:marBottom w:val="0"/>
      <w:divBdr>
        <w:top w:val="none" w:sz="0" w:space="0" w:color="auto"/>
        <w:left w:val="none" w:sz="0" w:space="0" w:color="auto"/>
        <w:bottom w:val="none" w:sz="0" w:space="0" w:color="auto"/>
        <w:right w:val="none" w:sz="0" w:space="0" w:color="auto"/>
      </w:divBdr>
    </w:div>
    <w:div w:id="21054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y.ucl.ac.uk/id/eprint/10189508/1/Journal%20of%20the%20International%20AIDS%20Society%20-%202024%20-%20Harrison%20-%20Facilitators%20and%20barriers%20to%20community%20pharmacy%20PrEP%20deliver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ti.bmj.com/content/101/3/160" TargetMode="External"/><Relationship Id="rId12" Type="http://schemas.openxmlformats.org/officeDocument/2006/relationships/hyperlink" Target="https://www.sciencedirect.com/science/article/abs/pii/S15517411203124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dpi.com/2226-4787/10/4/70" TargetMode="External"/><Relationship Id="rId5" Type="http://schemas.openxmlformats.org/officeDocument/2006/relationships/webSettings" Target="webSettings.xml"/><Relationship Id="rId10" Type="http://schemas.openxmlformats.org/officeDocument/2006/relationships/hyperlink" Target="https://pubmed.ncbi.nlm.nih.gov/36633540/" TargetMode="External"/><Relationship Id="rId4" Type="http://schemas.openxmlformats.org/officeDocument/2006/relationships/settings" Target="settings.xml"/><Relationship Id="rId9" Type="http://schemas.openxmlformats.org/officeDocument/2006/relationships/hyperlink" Target="https://www.sciencedirect.com/science/article/pii/S15443191230036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45B6A-2961-4DFA-89ED-36E01138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Ross</dc:creator>
  <cp:keywords/>
  <dc:description/>
  <cp:lastModifiedBy>Heidi Wright</cp:lastModifiedBy>
  <cp:revision>2</cp:revision>
  <dcterms:created xsi:type="dcterms:W3CDTF">2025-08-28T08:09:00Z</dcterms:created>
  <dcterms:modified xsi:type="dcterms:W3CDTF">2025-08-28T08:09:00Z</dcterms:modified>
</cp:coreProperties>
</file>