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3192" w14:textId="0739D166" w:rsidR="00D81B87" w:rsidRPr="00D81B87" w:rsidRDefault="00D81B87" w:rsidP="00D81B87">
      <w:pPr>
        <w:pStyle w:val="Heading1"/>
        <w:rPr>
          <w:sz w:val="36"/>
          <w:szCs w:val="36"/>
        </w:rPr>
      </w:pPr>
      <w:r w:rsidRPr="00D81B87">
        <w:rPr>
          <w:sz w:val="36"/>
          <w:szCs w:val="36"/>
        </w:rPr>
        <w:t>Royal Pharmaceutical Society response to the GPhC consultation</w:t>
      </w:r>
    </w:p>
    <w:p w14:paraId="48702BBF" w14:textId="77777777" w:rsidR="00D81B87" w:rsidRDefault="00D81B87" w:rsidP="00730AA5">
      <w:pPr>
        <w:rPr>
          <w:b/>
          <w:bCs/>
        </w:rPr>
      </w:pPr>
    </w:p>
    <w:p w14:paraId="54F22AAE" w14:textId="28FE8CE6" w:rsidR="00730AA5" w:rsidRPr="00730AA5" w:rsidRDefault="00730AA5" w:rsidP="00730AA5">
      <w:pPr>
        <w:rPr>
          <w:b/>
          <w:bCs/>
        </w:rPr>
      </w:pPr>
      <w:r w:rsidRPr="00730AA5">
        <w:rPr>
          <w:b/>
          <w:bCs/>
        </w:rPr>
        <w:t>Discussion on our proposed changes to the guidance for registered pharmacies providing pharmacy services at a distance, including on the internet</w:t>
      </w:r>
    </w:p>
    <w:p w14:paraId="1E2C8F72" w14:textId="77777777" w:rsidR="00730AA5" w:rsidRPr="00730AA5" w:rsidRDefault="00730AA5" w:rsidP="00730AA5">
      <w:pPr>
        <w:rPr>
          <w:b/>
          <w:bCs/>
        </w:rPr>
      </w:pPr>
      <w:r w:rsidRPr="00730AA5">
        <w:rPr>
          <w:b/>
          <w:bCs/>
        </w:rPr>
        <w:t>1. Do you think our proposed changes to this guidance will improve patient safety? </w:t>
      </w:r>
      <w:r w:rsidRPr="00730AA5">
        <w:t>*</w:t>
      </w:r>
    </w:p>
    <w:p w14:paraId="2E87C03D" w14:textId="77777777" w:rsidR="00730AA5" w:rsidRPr="001E7E15" w:rsidRDefault="00730AA5" w:rsidP="00730AA5">
      <w:pPr>
        <w:numPr>
          <w:ilvl w:val="0"/>
          <w:numId w:val="1"/>
        </w:numPr>
        <w:rPr>
          <w:highlight w:val="yellow"/>
        </w:rPr>
      </w:pPr>
      <w:r w:rsidRPr="001E7E15">
        <w:rPr>
          <w:highlight w:val="yellow"/>
        </w:rPr>
        <w:t>Yes</w:t>
      </w:r>
    </w:p>
    <w:p w14:paraId="28E6A400" w14:textId="77777777" w:rsidR="00730AA5" w:rsidRPr="00730AA5" w:rsidRDefault="00730AA5" w:rsidP="00730AA5">
      <w:pPr>
        <w:numPr>
          <w:ilvl w:val="0"/>
          <w:numId w:val="1"/>
        </w:numPr>
      </w:pPr>
      <w:r w:rsidRPr="00730AA5">
        <w:t>No</w:t>
      </w:r>
    </w:p>
    <w:p w14:paraId="332E648D" w14:textId="77777777" w:rsidR="00730AA5" w:rsidRPr="00730AA5" w:rsidRDefault="00730AA5" w:rsidP="00730AA5">
      <w:pPr>
        <w:numPr>
          <w:ilvl w:val="0"/>
          <w:numId w:val="1"/>
        </w:numPr>
      </w:pPr>
      <w:r w:rsidRPr="00730AA5">
        <w:t>Don't know</w:t>
      </w:r>
    </w:p>
    <w:p w14:paraId="15D432D1" w14:textId="77777777" w:rsidR="00730AA5" w:rsidRPr="00730AA5" w:rsidRDefault="00730AA5" w:rsidP="00730AA5">
      <w:r w:rsidRPr="00730AA5">
        <w:t> </w:t>
      </w:r>
    </w:p>
    <w:p w14:paraId="08AE3B3E" w14:textId="77777777" w:rsidR="00730AA5" w:rsidRPr="00730AA5" w:rsidRDefault="00730AA5" w:rsidP="00730AA5">
      <w:pPr>
        <w:rPr>
          <w:b/>
          <w:bCs/>
        </w:rPr>
      </w:pPr>
      <w:r w:rsidRPr="00730AA5">
        <w:rPr>
          <w:b/>
          <w:bCs/>
        </w:rPr>
        <w:t>2.  Thinking specifically about the changes we are proposing, is there anything that: </w:t>
      </w:r>
      <w:r w:rsidRPr="00730AA5">
        <w:t>*</w:t>
      </w:r>
    </w:p>
    <w:tbl>
      <w:tblPr>
        <w:tblW w:w="9900" w:type="dxa"/>
        <w:tblCellMar>
          <w:left w:w="0" w:type="dxa"/>
          <w:right w:w="0" w:type="dxa"/>
        </w:tblCellMar>
        <w:tblLook w:val="04A0" w:firstRow="1" w:lastRow="0" w:firstColumn="1" w:lastColumn="0" w:noHBand="0" w:noVBand="1"/>
      </w:tblPr>
      <w:tblGrid>
        <w:gridCol w:w="3960"/>
        <w:gridCol w:w="1980"/>
        <w:gridCol w:w="1980"/>
        <w:gridCol w:w="1980"/>
      </w:tblGrid>
      <w:tr w:rsidR="00730AA5" w:rsidRPr="00730AA5" w14:paraId="5F8CC693" w14:textId="77777777" w:rsidTr="00730AA5">
        <w:trPr>
          <w:tblHeader/>
        </w:trPr>
        <w:tc>
          <w:tcPr>
            <w:tcW w:w="3960" w:type="dxa"/>
            <w:shd w:val="clear" w:color="auto" w:fill="auto"/>
            <w:vAlign w:val="center"/>
            <w:hideMark/>
          </w:tcPr>
          <w:p w14:paraId="1F237FA9" w14:textId="77777777" w:rsidR="00730AA5" w:rsidRPr="00730AA5" w:rsidRDefault="00730AA5" w:rsidP="00730AA5"/>
        </w:tc>
        <w:tc>
          <w:tcPr>
            <w:tcW w:w="1980" w:type="dxa"/>
            <w:shd w:val="clear" w:color="auto" w:fill="auto"/>
            <w:tcMar>
              <w:top w:w="0" w:type="dxa"/>
              <w:left w:w="45" w:type="dxa"/>
              <w:bottom w:w="0" w:type="dxa"/>
              <w:right w:w="45" w:type="dxa"/>
            </w:tcMar>
            <w:vAlign w:val="center"/>
            <w:hideMark/>
          </w:tcPr>
          <w:p w14:paraId="2FE52A79" w14:textId="77777777" w:rsidR="00730AA5" w:rsidRPr="00730AA5" w:rsidRDefault="00730AA5" w:rsidP="00730AA5">
            <w:r w:rsidRPr="00730AA5">
              <w:t>Yes</w:t>
            </w:r>
          </w:p>
        </w:tc>
        <w:tc>
          <w:tcPr>
            <w:tcW w:w="1980" w:type="dxa"/>
            <w:shd w:val="clear" w:color="auto" w:fill="auto"/>
            <w:tcMar>
              <w:top w:w="0" w:type="dxa"/>
              <w:left w:w="45" w:type="dxa"/>
              <w:bottom w:w="0" w:type="dxa"/>
              <w:right w:w="45" w:type="dxa"/>
            </w:tcMar>
            <w:vAlign w:val="center"/>
            <w:hideMark/>
          </w:tcPr>
          <w:p w14:paraId="059B20A7" w14:textId="77777777" w:rsidR="00730AA5" w:rsidRPr="00730AA5" w:rsidRDefault="00730AA5" w:rsidP="00730AA5">
            <w:r w:rsidRPr="00730AA5">
              <w:t>No</w:t>
            </w:r>
          </w:p>
        </w:tc>
        <w:tc>
          <w:tcPr>
            <w:tcW w:w="1980" w:type="dxa"/>
            <w:shd w:val="clear" w:color="auto" w:fill="auto"/>
            <w:tcMar>
              <w:top w:w="0" w:type="dxa"/>
              <w:left w:w="45" w:type="dxa"/>
              <w:bottom w:w="0" w:type="dxa"/>
              <w:right w:w="45" w:type="dxa"/>
            </w:tcMar>
            <w:vAlign w:val="center"/>
            <w:hideMark/>
          </w:tcPr>
          <w:p w14:paraId="2B405F17" w14:textId="77777777" w:rsidR="00730AA5" w:rsidRPr="00730AA5" w:rsidRDefault="00730AA5" w:rsidP="00730AA5">
            <w:r w:rsidRPr="00730AA5">
              <w:t>Don't know</w:t>
            </w:r>
          </w:p>
        </w:tc>
      </w:tr>
      <w:tr w:rsidR="00730AA5" w:rsidRPr="00730AA5" w14:paraId="3AEC700E" w14:textId="77777777" w:rsidTr="00730AA5">
        <w:tc>
          <w:tcPr>
            <w:tcW w:w="0" w:type="auto"/>
            <w:shd w:val="clear" w:color="auto" w:fill="FFFFFF"/>
            <w:tcMar>
              <w:top w:w="120" w:type="dxa"/>
              <w:left w:w="120" w:type="dxa"/>
              <w:bottom w:w="120" w:type="dxa"/>
              <w:right w:w="120" w:type="dxa"/>
            </w:tcMar>
            <w:vAlign w:val="center"/>
            <w:hideMark/>
          </w:tcPr>
          <w:p w14:paraId="36AAF1B6" w14:textId="77777777" w:rsidR="00730AA5" w:rsidRPr="00730AA5" w:rsidRDefault="00730AA5" w:rsidP="00730AA5">
            <w:r w:rsidRPr="00730AA5">
              <w:t>is missing?</w:t>
            </w:r>
          </w:p>
        </w:tc>
        <w:tc>
          <w:tcPr>
            <w:tcW w:w="0" w:type="auto"/>
            <w:shd w:val="clear" w:color="auto" w:fill="FFFFFF"/>
            <w:tcMar>
              <w:top w:w="75" w:type="dxa"/>
              <w:left w:w="75" w:type="dxa"/>
              <w:bottom w:w="75" w:type="dxa"/>
              <w:right w:w="75" w:type="dxa"/>
            </w:tcMar>
            <w:vAlign w:val="center"/>
            <w:hideMark/>
          </w:tcPr>
          <w:p w14:paraId="570793B4" w14:textId="55CA3B75" w:rsidR="00730AA5" w:rsidRPr="00730AA5" w:rsidRDefault="00730AA5" w:rsidP="00730AA5">
            <w:r w:rsidRPr="001E7E15">
              <w:rPr>
                <w:highlight w:val="yellow"/>
              </w:rPr>
              <w:t>Yes</w:t>
            </w:r>
          </w:p>
        </w:tc>
        <w:tc>
          <w:tcPr>
            <w:tcW w:w="0" w:type="auto"/>
            <w:shd w:val="clear" w:color="auto" w:fill="FFFFFF"/>
            <w:tcMar>
              <w:top w:w="75" w:type="dxa"/>
              <w:left w:w="75" w:type="dxa"/>
              <w:bottom w:w="75" w:type="dxa"/>
              <w:right w:w="75" w:type="dxa"/>
            </w:tcMar>
            <w:vAlign w:val="center"/>
            <w:hideMark/>
          </w:tcPr>
          <w:p w14:paraId="58BA5042" w14:textId="6AE5DE48" w:rsidR="00730AA5" w:rsidRPr="00730AA5" w:rsidRDefault="00730AA5" w:rsidP="00730AA5">
            <w:r w:rsidRPr="00730AA5">
              <w:t>No</w:t>
            </w:r>
          </w:p>
        </w:tc>
        <w:tc>
          <w:tcPr>
            <w:tcW w:w="0" w:type="auto"/>
            <w:shd w:val="clear" w:color="auto" w:fill="FFFFFF"/>
            <w:tcMar>
              <w:top w:w="75" w:type="dxa"/>
              <w:left w:w="75" w:type="dxa"/>
              <w:bottom w:w="75" w:type="dxa"/>
              <w:right w:w="75" w:type="dxa"/>
            </w:tcMar>
            <w:vAlign w:val="center"/>
            <w:hideMark/>
          </w:tcPr>
          <w:p w14:paraId="7EA5D515" w14:textId="1E8BB49F" w:rsidR="00730AA5" w:rsidRPr="00730AA5" w:rsidRDefault="00730AA5" w:rsidP="00730AA5">
            <w:r w:rsidRPr="00730AA5">
              <w:t>Don't know</w:t>
            </w:r>
          </w:p>
        </w:tc>
      </w:tr>
      <w:tr w:rsidR="00730AA5" w:rsidRPr="00730AA5" w14:paraId="64509801" w14:textId="77777777" w:rsidTr="00730AA5">
        <w:tc>
          <w:tcPr>
            <w:tcW w:w="0" w:type="auto"/>
            <w:shd w:val="clear" w:color="auto" w:fill="DFEEF5"/>
            <w:tcMar>
              <w:top w:w="120" w:type="dxa"/>
              <w:left w:w="120" w:type="dxa"/>
              <w:bottom w:w="120" w:type="dxa"/>
              <w:right w:w="120" w:type="dxa"/>
            </w:tcMar>
            <w:vAlign w:val="center"/>
            <w:hideMark/>
          </w:tcPr>
          <w:p w14:paraId="1B939271" w14:textId="77777777" w:rsidR="00730AA5" w:rsidRPr="00730AA5" w:rsidRDefault="00730AA5" w:rsidP="00730AA5">
            <w:r w:rsidRPr="00730AA5">
              <w:t>should be amended?</w:t>
            </w:r>
          </w:p>
        </w:tc>
        <w:tc>
          <w:tcPr>
            <w:tcW w:w="0" w:type="auto"/>
            <w:shd w:val="clear" w:color="auto" w:fill="DFEEF5"/>
            <w:tcMar>
              <w:top w:w="75" w:type="dxa"/>
              <w:left w:w="75" w:type="dxa"/>
              <w:bottom w:w="75" w:type="dxa"/>
              <w:right w:w="75" w:type="dxa"/>
            </w:tcMar>
            <w:vAlign w:val="center"/>
            <w:hideMark/>
          </w:tcPr>
          <w:p w14:paraId="0765CC3A" w14:textId="4A57DA09" w:rsidR="00730AA5" w:rsidRPr="00730AA5" w:rsidRDefault="00730AA5" w:rsidP="00730AA5">
            <w:r w:rsidRPr="001E7E15">
              <w:rPr>
                <w:highlight w:val="yellow"/>
              </w:rPr>
              <w:t>Yes</w:t>
            </w:r>
          </w:p>
        </w:tc>
        <w:tc>
          <w:tcPr>
            <w:tcW w:w="0" w:type="auto"/>
            <w:shd w:val="clear" w:color="auto" w:fill="DFEEF5"/>
            <w:tcMar>
              <w:top w:w="75" w:type="dxa"/>
              <w:left w:w="75" w:type="dxa"/>
              <w:bottom w:w="75" w:type="dxa"/>
              <w:right w:w="75" w:type="dxa"/>
            </w:tcMar>
            <w:vAlign w:val="center"/>
            <w:hideMark/>
          </w:tcPr>
          <w:p w14:paraId="67587202" w14:textId="0F8D69D8" w:rsidR="00730AA5" w:rsidRPr="00730AA5" w:rsidRDefault="00730AA5" w:rsidP="00730AA5">
            <w:r w:rsidRPr="00730AA5">
              <w:t>No</w:t>
            </w:r>
          </w:p>
        </w:tc>
        <w:tc>
          <w:tcPr>
            <w:tcW w:w="0" w:type="auto"/>
            <w:shd w:val="clear" w:color="auto" w:fill="DFEEF5"/>
            <w:tcMar>
              <w:top w:w="75" w:type="dxa"/>
              <w:left w:w="75" w:type="dxa"/>
              <w:bottom w:w="75" w:type="dxa"/>
              <w:right w:w="75" w:type="dxa"/>
            </w:tcMar>
            <w:vAlign w:val="center"/>
            <w:hideMark/>
          </w:tcPr>
          <w:p w14:paraId="471AA59F" w14:textId="709D0BC1" w:rsidR="00730AA5" w:rsidRPr="00730AA5" w:rsidRDefault="00730AA5" w:rsidP="00730AA5">
            <w:r w:rsidRPr="00730AA5">
              <w:t>Don't know</w:t>
            </w:r>
          </w:p>
        </w:tc>
      </w:tr>
      <w:tr w:rsidR="00730AA5" w:rsidRPr="00730AA5" w14:paraId="776EFE21" w14:textId="77777777" w:rsidTr="00730AA5">
        <w:tc>
          <w:tcPr>
            <w:tcW w:w="0" w:type="auto"/>
            <w:shd w:val="clear" w:color="auto" w:fill="FFFFFF"/>
            <w:tcMar>
              <w:top w:w="120" w:type="dxa"/>
              <w:left w:w="120" w:type="dxa"/>
              <w:bottom w:w="120" w:type="dxa"/>
              <w:right w:w="120" w:type="dxa"/>
            </w:tcMar>
            <w:vAlign w:val="center"/>
            <w:hideMark/>
          </w:tcPr>
          <w:p w14:paraId="02E45700" w14:textId="77777777" w:rsidR="00730AA5" w:rsidRPr="00730AA5" w:rsidRDefault="00730AA5" w:rsidP="00730AA5">
            <w:r w:rsidRPr="00730AA5">
              <w:t>should be removed?</w:t>
            </w:r>
          </w:p>
        </w:tc>
        <w:tc>
          <w:tcPr>
            <w:tcW w:w="0" w:type="auto"/>
            <w:shd w:val="clear" w:color="auto" w:fill="FFFFFF"/>
            <w:tcMar>
              <w:top w:w="75" w:type="dxa"/>
              <w:left w:w="75" w:type="dxa"/>
              <w:bottom w:w="75" w:type="dxa"/>
              <w:right w:w="75" w:type="dxa"/>
            </w:tcMar>
            <w:vAlign w:val="center"/>
            <w:hideMark/>
          </w:tcPr>
          <w:p w14:paraId="0CEA5F6A" w14:textId="27545FA4" w:rsidR="00730AA5" w:rsidRPr="00730AA5" w:rsidRDefault="00730AA5" w:rsidP="00730AA5">
            <w:r w:rsidRPr="00730AA5">
              <w:t>Yes</w:t>
            </w:r>
          </w:p>
        </w:tc>
        <w:tc>
          <w:tcPr>
            <w:tcW w:w="0" w:type="auto"/>
            <w:shd w:val="clear" w:color="auto" w:fill="FFFFFF"/>
            <w:tcMar>
              <w:top w:w="75" w:type="dxa"/>
              <w:left w:w="75" w:type="dxa"/>
              <w:bottom w:w="75" w:type="dxa"/>
              <w:right w:w="75" w:type="dxa"/>
            </w:tcMar>
            <w:vAlign w:val="center"/>
            <w:hideMark/>
          </w:tcPr>
          <w:p w14:paraId="165B12C5" w14:textId="3F223658" w:rsidR="00730AA5" w:rsidRPr="00730AA5" w:rsidRDefault="00730AA5" w:rsidP="00730AA5">
            <w:r w:rsidRPr="001E7E15">
              <w:rPr>
                <w:highlight w:val="yellow"/>
              </w:rPr>
              <w:t>No</w:t>
            </w:r>
          </w:p>
        </w:tc>
        <w:tc>
          <w:tcPr>
            <w:tcW w:w="0" w:type="auto"/>
            <w:shd w:val="clear" w:color="auto" w:fill="FFFFFF"/>
            <w:tcMar>
              <w:top w:w="75" w:type="dxa"/>
              <w:left w:w="75" w:type="dxa"/>
              <w:bottom w:w="75" w:type="dxa"/>
              <w:right w:w="75" w:type="dxa"/>
            </w:tcMar>
            <w:vAlign w:val="center"/>
            <w:hideMark/>
          </w:tcPr>
          <w:p w14:paraId="3EEBCEF2" w14:textId="45EE3773" w:rsidR="00730AA5" w:rsidRPr="00730AA5" w:rsidRDefault="00730AA5" w:rsidP="00730AA5">
            <w:r w:rsidRPr="00730AA5">
              <w:t>Don't know</w:t>
            </w:r>
          </w:p>
        </w:tc>
      </w:tr>
    </w:tbl>
    <w:p w14:paraId="781822D5" w14:textId="77777777" w:rsidR="00730AA5" w:rsidRPr="00730AA5" w:rsidRDefault="00730AA5" w:rsidP="00730AA5">
      <w:r w:rsidRPr="00730AA5">
        <w:t> </w:t>
      </w:r>
    </w:p>
    <w:p w14:paraId="50FD467B" w14:textId="77777777" w:rsidR="00730AA5" w:rsidRDefault="00730AA5" w:rsidP="00730AA5">
      <w:pPr>
        <w:rPr>
          <w:b/>
          <w:bCs/>
        </w:rPr>
      </w:pPr>
      <w:r w:rsidRPr="00730AA5">
        <w:rPr>
          <w:b/>
          <w:bCs/>
        </w:rPr>
        <w:t>If you answered 'yes' to any of the above, please describe what you think is missing, should be amended or should be removed.</w:t>
      </w:r>
    </w:p>
    <w:p w14:paraId="6E6F9185" w14:textId="5D799479" w:rsidR="005C543A" w:rsidRPr="00474194" w:rsidRDefault="0056310F" w:rsidP="00730AA5">
      <w:r w:rsidRPr="00474194">
        <w:t xml:space="preserve">This latest version provides pharmacists with a framework for achieving the standards set by the </w:t>
      </w:r>
      <w:r w:rsidR="00EF6431">
        <w:t>General Pharmaceutical Council (</w:t>
      </w:r>
      <w:r w:rsidRPr="00474194">
        <w:t>GPhC</w:t>
      </w:r>
      <w:r w:rsidR="00EF6431">
        <w:t>)</w:t>
      </w:r>
      <w:r w:rsidRPr="00474194">
        <w:t xml:space="preserve">, enhancing transparency for individuals accessing pharmacy services as outlined in the document. It aligns closely with the recommendations from the RPS policy “Providing Medicines Online.” </w:t>
      </w:r>
    </w:p>
    <w:p w14:paraId="5BFE5906" w14:textId="059D52E8" w:rsidR="00E712E7" w:rsidRDefault="00E712E7" w:rsidP="00730AA5">
      <w:r w:rsidRPr="00474194">
        <w:t>We have the following comments for consideration in terms of the guidance in its current format.</w:t>
      </w:r>
    </w:p>
    <w:p w14:paraId="3DA36795" w14:textId="2BEFBD93" w:rsidR="007862C5" w:rsidRPr="009A318C" w:rsidRDefault="007862C5" w:rsidP="00730AA5">
      <w:pPr>
        <w:rPr>
          <w:b/>
          <w:bCs/>
          <w:u w:val="single"/>
        </w:rPr>
      </w:pPr>
      <w:r w:rsidRPr="009A318C">
        <w:rPr>
          <w:b/>
          <w:bCs/>
          <w:u w:val="single"/>
        </w:rPr>
        <w:t>Risk management</w:t>
      </w:r>
    </w:p>
    <w:p w14:paraId="18922624" w14:textId="5C5A2226" w:rsidR="001B4DB9" w:rsidRDefault="2099F2E3" w:rsidP="2099F2E3">
      <w:r>
        <w:t xml:space="preserve">We’ve identified a notable over-reliance on risk assessments; the guidance should </w:t>
      </w:r>
      <w:r w:rsidR="009A318C">
        <w:t>emphasise the</w:t>
      </w:r>
      <w:r>
        <w:t xml:space="preserve"> need for a dynamic risk management process. Not only should risk assessments be conducted, but there should also be a continuous feedback loop where risks identified are addressed through proactive control measures that are monitored, reviewed, and updated based on experiences (e.g., near-misses or patient safety incidents). We recommend that the GPhC reference the Royal Pharmaceutical Society’s Responding to Patient Safety Incidents, particularly to support the achievement of standard 1.2f within the guidance, with a stronger focus on learning. </w:t>
      </w:r>
    </w:p>
    <w:p w14:paraId="2927078D" w14:textId="77777777" w:rsidR="002D312F" w:rsidRDefault="002D312F" w:rsidP="005C543A">
      <w:pPr>
        <w:rPr>
          <w:b/>
          <w:bCs/>
          <w:u w:val="single"/>
        </w:rPr>
      </w:pPr>
    </w:p>
    <w:p w14:paraId="0E44250B" w14:textId="46078285" w:rsidR="00230411" w:rsidRPr="009A318C" w:rsidRDefault="007862C5" w:rsidP="005C543A">
      <w:pPr>
        <w:rPr>
          <w:b/>
          <w:bCs/>
          <w:u w:val="single"/>
        </w:rPr>
      </w:pPr>
      <w:r w:rsidRPr="009A318C">
        <w:rPr>
          <w:b/>
          <w:bCs/>
          <w:u w:val="single"/>
        </w:rPr>
        <w:t xml:space="preserve">Separation of guidance relating to prescribing and </w:t>
      </w:r>
      <w:r w:rsidR="002D312F" w:rsidRPr="009A318C">
        <w:rPr>
          <w:b/>
          <w:bCs/>
          <w:u w:val="single"/>
        </w:rPr>
        <w:t>supply/delivery of medication</w:t>
      </w:r>
    </w:p>
    <w:p w14:paraId="1223381D" w14:textId="5E97B7FD" w:rsidR="005C543A" w:rsidRPr="00474194" w:rsidRDefault="005C543A" w:rsidP="005C543A">
      <w:r w:rsidRPr="00474194">
        <w:t>From our perspective this guidance is seeking to address and provide support for owners (and superintendent</w:t>
      </w:r>
      <w:r w:rsidR="00170AA0" w:rsidRPr="00474194">
        <w:t xml:space="preserve"> pharmacists</w:t>
      </w:r>
      <w:r w:rsidRPr="00474194">
        <w:t xml:space="preserve">) on a range of different areas, which although overlapping would benefit from further separation. For ease of use and understanding we would support the separation of this guidance into those aspects related to prescribing and those aspects related to remote supply and delivery of medication. </w:t>
      </w:r>
      <w:r w:rsidR="00170AA0" w:rsidRPr="00474194">
        <w:t xml:space="preserve">The document </w:t>
      </w:r>
      <w:r w:rsidRPr="00474194">
        <w:t>in its current form</w:t>
      </w:r>
      <w:r w:rsidR="00170AA0" w:rsidRPr="00474194">
        <w:t>,</w:t>
      </w:r>
      <w:r w:rsidRPr="00474194">
        <w:t xml:space="preserve"> </w:t>
      </w:r>
      <w:r w:rsidR="00170AA0" w:rsidRPr="00474194">
        <w:t xml:space="preserve">where these elements are not separated, can at times be </w:t>
      </w:r>
      <w:r w:rsidRPr="00474194">
        <w:t>complex to understand and</w:t>
      </w:r>
      <w:r w:rsidR="00170AA0" w:rsidRPr="00474194">
        <w:t xml:space="preserve"> difficult to</w:t>
      </w:r>
      <w:r w:rsidRPr="00474194">
        <w:t xml:space="preserve"> interpret.</w:t>
      </w:r>
      <w:r w:rsidR="00170AA0" w:rsidRPr="00474194">
        <w:t xml:space="preserve"> It can sometimes be difficult to understand</w:t>
      </w:r>
      <w:r w:rsidRPr="00474194">
        <w:t xml:space="preserve"> </w:t>
      </w:r>
      <w:r w:rsidR="00170AA0" w:rsidRPr="00474194">
        <w:t>whether an aspect of guidance is being applied to all settings or only in certain situations such as prescribing. </w:t>
      </w:r>
      <w:r w:rsidRPr="00474194">
        <w:t xml:space="preserve"> </w:t>
      </w:r>
      <w:r w:rsidR="00230411" w:rsidRPr="00230411">
        <w:t xml:space="preserve"> </w:t>
      </w:r>
    </w:p>
    <w:p w14:paraId="7ECECFB5" w14:textId="6066B029" w:rsidR="005C543A" w:rsidRPr="00474194" w:rsidRDefault="005C543A" w:rsidP="005C543A">
      <w:r w:rsidRPr="00474194">
        <w:t> This is best exemplified using the term “pharmacy service” which appears to encompass activities that are both provided by the pharmacy and owner itself, but also by those services that are offered by other parties, which may be subject to separate regulation by agencies such as the CQC. (see section 1.1.c as an example of this). </w:t>
      </w:r>
    </w:p>
    <w:p w14:paraId="1A8475EE" w14:textId="2239A4E0" w:rsidR="005C543A" w:rsidRPr="00474194" w:rsidRDefault="005C543A" w:rsidP="005C543A">
      <w:r w:rsidRPr="00474194">
        <w:t xml:space="preserve"> Another example is that the guidance references the supply of both P Meds and POMs. It is unclear in many places if the guidance is </w:t>
      </w:r>
      <w:r w:rsidR="009A318C" w:rsidRPr="00474194">
        <w:t>always provided to both categories</w:t>
      </w:r>
      <w:r w:rsidRPr="00474194">
        <w:t xml:space="preserve"> or is only applicable in the case of POMs being prescribed. Separating this out may make it easier for owners and pharmacists to understand and implement. </w:t>
      </w:r>
      <w:r w:rsidR="00EF6431">
        <w:t xml:space="preserve">This </w:t>
      </w:r>
      <w:r w:rsidR="00EF6431" w:rsidRPr="00EF6431">
        <w:t xml:space="preserve">ambiguity </w:t>
      </w:r>
      <w:r w:rsidR="00EF6431">
        <w:t>has the potential to</w:t>
      </w:r>
      <w:r w:rsidR="00EF6431" w:rsidRPr="00EF6431">
        <w:t xml:space="preserve"> impact compliance and service safety, especially since POMs and P Meds have different legal requirements and patient risk levels.</w:t>
      </w:r>
    </w:p>
    <w:p w14:paraId="132D7520" w14:textId="29D25F70" w:rsidR="005C543A" w:rsidRPr="00474194" w:rsidRDefault="575F8344" w:rsidP="005C543A">
      <w:r>
        <w:t xml:space="preserve">Furthermore, the blended approach to the guidance seems to then miss the opportunity to provide clarity between those services provided by the NHS versus those through private services. For example, a pharmacist may be presented with an out-of-hours prescription from an NHS </w:t>
      </w:r>
      <w:r w:rsidR="009A318C">
        <w:t>service,</w:t>
      </w:r>
      <w:r>
        <w:t xml:space="preserve"> and it wouldn’t be typical to contact the person’s GP or regular prescriber before making a supply.     See section 4.1i below.</w:t>
      </w:r>
    </w:p>
    <w:p w14:paraId="191BB62E" w14:textId="477BDD32" w:rsidR="00EF6431" w:rsidRPr="00EF6431" w:rsidRDefault="00EF6431" w:rsidP="00EF6431">
      <w:r>
        <w:t>The addition of</w:t>
      </w:r>
      <w:r w:rsidRPr="00EF6431">
        <w:t xml:space="preserve"> practical case studies or examples in the guidance that clarify common scenarios where pharmacists might face challenges</w:t>
      </w:r>
      <w:r>
        <w:t xml:space="preserve"> could be beneficial and help make the guidance more tangible</w:t>
      </w:r>
      <w:r w:rsidRPr="00EF6431">
        <w:t>.</w:t>
      </w:r>
    </w:p>
    <w:p w14:paraId="538ABC6F" w14:textId="77777777" w:rsidR="00F963F5" w:rsidRDefault="00F963F5" w:rsidP="005C543A"/>
    <w:p w14:paraId="2994C1AF" w14:textId="2B4102AE" w:rsidR="002D312F" w:rsidRPr="009A318C" w:rsidRDefault="002D312F" w:rsidP="005C543A">
      <w:pPr>
        <w:rPr>
          <w:b/>
          <w:bCs/>
          <w:u w:val="single"/>
        </w:rPr>
      </w:pPr>
      <w:r w:rsidRPr="009A318C">
        <w:rPr>
          <w:b/>
          <w:bCs/>
          <w:u w:val="single"/>
        </w:rPr>
        <w:t>Clarity of prescriber and ‘staff’</w:t>
      </w:r>
    </w:p>
    <w:p w14:paraId="3940A4ED" w14:textId="79A3F428" w:rsidR="005C543A" w:rsidRPr="00474194" w:rsidRDefault="0E85E1A9" w:rsidP="005C543A">
      <w:r>
        <w:t xml:space="preserve">The different interpretations of prescriber in the document are confusing. It sometimes appears to relate specifically to pharmacist independent prescribers (and subject </w:t>
      </w:r>
      <w:r w:rsidR="009A318C">
        <w:t>to GPhC</w:t>
      </w:r>
      <w:r>
        <w:t xml:space="preserve"> registration), but in other places it is unclear if the GPhC is seeking to implement these approaches on non-GPhC registered prescribers who are part of a pharmacy service, (which could include prescribers that are nurses, paramedics or doctors who are subject to different registration). Clarifying the scope of GPhC’s jurisdiction here is vital for ensuring that all parties in a multidisciplinary team understand their obligations.</w:t>
      </w:r>
    </w:p>
    <w:p w14:paraId="0003F3BE" w14:textId="3D302FC7" w:rsidR="005C543A" w:rsidRDefault="005C543A" w:rsidP="005C543A">
      <w:r w:rsidRPr="00474194">
        <w:t xml:space="preserve">Further definitions, such as the reference to “staff” being any part of the third parties who help the pharmacy provide any part of the pharmacy service, means that these obligations could be incredibly far reaching, including advertising agencies, IT developers or delivery providers from external companies. Yet this term is not used consistently in the document. As a result, some of the later requirements for “staff” to be aware of risk assessment would seem unfeasible. For </w:t>
      </w:r>
      <w:r w:rsidRPr="00474194">
        <w:lastRenderedPageBreak/>
        <w:t>example, this</w:t>
      </w:r>
      <w:r w:rsidR="00F963F5" w:rsidRPr="00474194">
        <w:t xml:space="preserve"> could</w:t>
      </w:r>
      <w:r w:rsidRPr="00474194">
        <w:t xml:space="preserve"> create an expectation that every </w:t>
      </w:r>
      <w:r w:rsidR="004117FA" w:rsidRPr="00474194">
        <w:t>third-party</w:t>
      </w:r>
      <w:r w:rsidRPr="00474194">
        <w:t xml:space="preserve"> delivery </w:t>
      </w:r>
      <w:r w:rsidR="00F963F5" w:rsidRPr="00474194">
        <w:t>courier</w:t>
      </w:r>
      <w:r w:rsidR="004117FA">
        <w:t xml:space="preserve"> (e.g. Royal Mail)</w:t>
      </w:r>
      <w:r w:rsidRPr="00474194">
        <w:t xml:space="preserve"> would be aware of the risk assessment for delivery of medicines from a pharmacy.</w:t>
      </w:r>
    </w:p>
    <w:p w14:paraId="5A76E57E" w14:textId="77777777" w:rsidR="009A318C" w:rsidRDefault="009A318C" w:rsidP="005C543A"/>
    <w:p w14:paraId="71D8A0D8" w14:textId="21DA9AF1" w:rsidR="002D312F" w:rsidRPr="00474194" w:rsidRDefault="002D312F" w:rsidP="005C543A">
      <w:r>
        <w:t>The following comments relate specifically to the section referenced.</w:t>
      </w:r>
    </w:p>
    <w:p w14:paraId="5D57F88B" w14:textId="0EA7848A" w:rsidR="00F963F5" w:rsidRDefault="00474194" w:rsidP="005C543A">
      <w:pPr>
        <w:rPr>
          <w:b/>
          <w:bCs/>
        </w:rPr>
      </w:pPr>
      <w:r w:rsidRPr="00474194">
        <w:rPr>
          <w:b/>
          <w:bCs/>
        </w:rPr>
        <w:t>1.4 Record keeping</w:t>
      </w:r>
    </w:p>
    <w:p w14:paraId="2CCF0EEF" w14:textId="78BA6509" w:rsidR="004117FA" w:rsidRPr="004117FA" w:rsidRDefault="004117FA" w:rsidP="004117FA">
      <w:r>
        <w:t>T</w:t>
      </w:r>
      <w:r w:rsidRPr="004117FA">
        <w:t xml:space="preserve">he proposed guidance states </w:t>
      </w:r>
      <w:r w:rsidRPr="004117FA">
        <w:rPr>
          <w:i/>
          <w:iCs/>
        </w:rPr>
        <w:t>"All applicable laws covering how long records need to be kept must be followed. Good practice guidance will provide useful support."</w:t>
      </w:r>
      <w:r w:rsidRPr="004117FA">
        <w:t xml:space="preserve"> </w:t>
      </w:r>
    </w:p>
    <w:p w14:paraId="1E7CB99F" w14:textId="12DEEACD" w:rsidR="004117FA" w:rsidRPr="004117FA" w:rsidRDefault="004117FA" w:rsidP="004117FA">
      <w:r w:rsidRPr="004117FA">
        <w:t xml:space="preserve">It should be </w:t>
      </w:r>
      <w:r>
        <w:t>made explicit</w:t>
      </w:r>
      <w:r w:rsidRPr="004117FA">
        <w:t xml:space="preserve"> which guidance is being referred to here</w:t>
      </w:r>
      <w:r>
        <w:t xml:space="preserve"> to support the Pharmacy owner and Superintendent Pharmacist.</w:t>
      </w:r>
      <w:r w:rsidR="00474B47">
        <w:t xml:space="preserve"> In addition, t</w:t>
      </w:r>
      <w:r w:rsidR="00474B47" w:rsidRPr="00474B47">
        <w:t>his should also include further clarification on digital record-keeping standards</w:t>
      </w:r>
      <w:r w:rsidR="00474B47">
        <w:t>.</w:t>
      </w:r>
    </w:p>
    <w:p w14:paraId="13BF1DB1" w14:textId="77777777" w:rsidR="00474194" w:rsidRPr="00474194" w:rsidRDefault="00474194" w:rsidP="005C543A">
      <w:pPr>
        <w:rPr>
          <w:b/>
          <w:bCs/>
        </w:rPr>
      </w:pPr>
    </w:p>
    <w:p w14:paraId="3919C3AD" w14:textId="320C5ACC" w:rsidR="00F963F5" w:rsidRPr="00474194" w:rsidRDefault="00F963F5" w:rsidP="005C543A">
      <w:pPr>
        <w:rPr>
          <w:b/>
          <w:bCs/>
        </w:rPr>
      </w:pPr>
      <w:r w:rsidRPr="00474194">
        <w:rPr>
          <w:b/>
          <w:bCs/>
        </w:rPr>
        <w:t>3.2 Website</w:t>
      </w:r>
    </w:p>
    <w:p w14:paraId="79E28A6E" w14:textId="11BDD875" w:rsidR="00A83CDC" w:rsidRPr="00474194" w:rsidRDefault="00A83CDC" w:rsidP="005C543A">
      <w:pPr>
        <w:rPr>
          <w:b/>
          <w:bCs/>
        </w:rPr>
      </w:pPr>
      <w:r w:rsidRPr="00B03AA3">
        <w:t xml:space="preserve">The following comment is in reference to the sentence </w:t>
      </w:r>
      <w:r w:rsidRPr="00B03AA3">
        <w:rPr>
          <w:i/>
          <w:iCs/>
        </w:rPr>
        <w:t>‘’The public may be able to access the pharmacy website directly or through a third-party site, for example eBay, but it must be clear which pharmacy is supplying the medicine’’.</w:t>
      </w:r>
    </w:p>
    <w:p w14:paraId="45C8924B" w14:textId="3AFC8ACE" w:rsidR="005C543A" w:rsidRPr="00474194" w:rsidRDefault="0E85E1A9" w:rsidP="005C543A">
      <w:r>
        <w:t>This could be, inadvertently, interpreted as an ‘endorsement’ of the eBay medicines supply model. We would suggest removing any reference to eBay specifically and at the very least it should be made explicit that such websites are not appropriate for supply of POM related services. </w:t>
      </w:r>
    </w:p>
    <w:p w14:paraId="2121458C" w14:textId="77777777" w:rsidR="0095113D" w:rsidRPr="00474194" w:rsidRDefault="0095113D" w:rsidP="005C543A"/>
    <w:p w14:paraId="43BB9B06" w14:textId="37171C59" w:rsidR="0095113D" w:rsidRPr="00474194" w:rsidRDefault="0E85E1A9" w:rsidP="005C543A">
      <w:pPr>
        <w:rPr>
          <w:b/>
          <w:bCs/>
        </w:rPr>
      </w:pPr>
      <w:r w:rsidRPr="0E85E1A9">
        <w:rPr>
          <w:b/>
          <w:bCs/>
        </w:rPr>
        <w:t>3.2 e. Arrange the website so there is an appropriate consultation with the prescriber before any supply of a POM is made</w:t>
      </w:r>
    </w:p>
    <w:p w14:paraId="7AE9551C" w14:textId="723DE221" w:rsidR="0095113D" w:rsidRPr="00474194" w:rsidRDefault="0E85E1A9" w:rsidP="005C543A">
      <w:r>
        <w:t xml:space="preserve">Within this section there is a suggestion that prescribing decisions could be based on answers given to a questionnaire alone, interpreted from the following statement </w:t>
      </w:r>
      <w:r w:rsidRPr="0E85E1A9">
        <w:rPr>
          <w:i/>
          <w:iCs/>
        </w:rPr>
        <w:t>‘’If the operating model involves prescribing decisions being made remotely, based just on answers given to a questionnaire, there must be careful consideration of whether it is safe to prescribe and supply medicines’’.</w:t>
      </w:r>
    </w:p>
    <w:p w14:paraId="07F94553" w14:textId="67C90542" w:rsidR="00406DC6" w:rsidRPr="00474B47" w:rsidRDefault="0E85E1A9" w:rsidP="00406DC6">
      <w:r>
        <w:t>There should</w:t>
      </w:r>
      <w:r w:rsidRPr="007E3D59">
        <w:rPr>
          <w:b/>
          <w:bCs/>
        </w:rPr>
        <w:t xml:space="preserve"> always</w:t>
      </w:r>
      <w:r>
        <w:t xml:space="preserve"> be the means for the prescriber and the patient to communicate outside of the questionnaire. The suggestion that this is appropriate in some cases is not acceptable; questionnaire-style prescribing alone should never be the norm or accepted practice, especially when considering POM medicines</w:t>
      </w:r>
      <w:r w:rsidR="009A318C" w:rsidRPr="009A318C">
        <w:t xml:space="preserve"> </w:t>
      </w:r>
      <w:r w:rsidR="007E3D59" w:rsidRPr="009A318C">
        <w:t>and</w:t>
      </w:r>
      <w:r w:rsidR="009A318C" w:rsidRPr="009A318C">
        <w:t xml:space="preserve"> </w:t>
      </w:r>
      <w:r w:rsidR="007E3D59">
        <w:t xml:space="preserve">also </w:t>
      </w:r>
      <w:r w:rsidR="009A318C" w:rsidRPr="009A318C">
        <w:t>P medicines with additional risk factors including misuse potential</w:t>
      </w:r>
      <w:r>
        <w:t xml:space="preserve">. </w:t>
      </w:r>
    </w:p>
    <w:p w14:paraId="24C49FFC" w14:textId="59047FC0" w:rsidR="004911F2" w:rsidRDefault="0E85E1A9" w:rsidP="004911F2">
      <w:r>
        <w:t xml:space="preserve">A two-way interaction must be available and whilst the prescriber and the patient may still choose not to use these non-questionnaire </w:t>
      </w:r>
      <w:r w:rsidR="007E3D59">
        <w:t>routes, the</w:t>
      </w:r>
      <w:r>
        <w:t xml:space="preserve"> option for them must exist and be </w:t>
      </w:r>
      <w:r w:rsidR="007E3D59">
        <w:t>encouraged.</w:t>
      </w:r>
      <w:r>
        <w:t xml:space="preserve"> A prescriber </w:t>
      </w:r>
      <w:r w:rsidRPr="0E85E1A9">
        <w:rPr>
          <w:b/>
          <w:bCs/>
        </w:rPr>
        <w:t>must</w:t>
      </w:r>
      <w:r w:rsidRPr="009A318C">
        <w:t xml:space="preserve"> always</w:t>
      </w:r>
      <w:r w:rsidRPr="0E85E1A9">
        <w:rPr>
          <w:b/>
          <w:bCs/>
        </w:rPr>
        <w:t xml:space="preserve"> </w:t>
      </w:r>
      <w:r>
        <w:t xml:space="preserve">be satisfied that the prescription is appropriate and safe and retain autonomy when prescribing, this becomes more complex when prescribing </w:t>
      </w:r>
      <w:r w:rsidR="007E3D59">
        <w:t>based on</w:t>
      </w:r>
      <w:r>
        <w:t xml:space="preserve"> the outcomes of a pre-designed questionnaire, </w:t>
      </w:r>
    </w:p>
    <w:p w14:paraId="29BE0C16" w14:textId="6FA652B6" w:rsidR="004911F2" w:rsidRDefault="004911F2" w:rsidP="004911F2">
      <w:r>
        <w:t>P</w:t>
      </w:r>
      <w:r w:rsidRPr="004911F2">
        <w:t xml:space="preserve">atient safety </w:t>
      </w:r>
      <w:r>
        <w:t>must remain the overriding priority</w:t>
      </w:r>
      <w:r w:rsidRPr="004911F2">
        <w:t xml:space="preserve">, communication beyond questionnaires (e.g., </w:t>
      </w:r>
      <w:r>
        <w:t>face to face</w:t>
      </w:r>
      <w:r w:rsidRPr="004911F2">
        <w:t xml:space="preserve"> or video consultation) ensures that a prescriber can assess non-verbal cues, verify </w:t>
      </w:r>
      <w:r w:rsidRPr="004911F2">
        <w:lastRenderedPageBreak/>
        <w:t>critical information, and ask follow-up questions that may not be addressed in a static questionnaire format.</w:t>
      </w:r>
    </w:p>
    <w:p w14:paraId="66625985" w14:textId="63653E86" w:rsidR="005D39B5" w:rsidRPr="005D39B5" w:rsidRDefault="005D39B5" w:rsidP="005C543A">
      <w:pPr>
        <w:rPr>
          <w:b/>
          <w:bCs/>
        </w:rPr>
      </w:pPr>
      <w:r w:rsidRPr="005D39B5">
        <w:rPr>
          <w:b/>
          <w:bCs/>
        </w:rPr>
        <w:t>4.1i - The safeguards to put in place if the above medicines are to be supplied online</w:t>
      </w:r>
    </w:p>
    <w:p w14:paraId="017CA067" w14:textId="0DE15462" w:rsidR="005D39B5" w:rsidRDefault="005D39B5" w:rsidP="005C543A">
      <w:pPr>
        <w:rPr>
          <w:i/>
          <w:iCs/>
        </w:rPr>
      </w:pPr>
      <w:r>
        <w:t xml:space="preserve">Within the guidance it states </w:t>
      </w:r>
      <w:r w:rsidRPr="005D39B5">
        <w:rPr>
          <w:i/>
          <w:iCs/>
        </w:rPr>
        <w:t>‘’the prescriber independently verifies the information that the person provides. This may be through a phone call or video consultation, in person or by contacting another healthcare provider such as the person’s GP’’.</w:t>
      </w:r>
    </w:p>
    <w:p w14:paraId="052A0CFF" w14:textId="32BF1BB1" w:rsidR="005D39B5" w:rsidRPr="005D39B5" w:rsidRDefault="005D39B5" w:rsidP="005D39B5">
      <w:pPr>
        <w:rPr>
          <w:i/>
          <w:iCs/>
        </w:rPr>
      </w:pPr>
      <w:r>
        <w:t xml:space="preserve">We have received queries from some member </w:t>
      </w:r>
      <w:r w:rsidRPr="005D39B5">
        <w:t>pharmacist</w:t>
      </w:r>
      <w:r>
        <w:t>s working</w:t>
      </w:r>
      <w:r w:rsidRPr="005D39B5">
        <w:t xml:space="preserve"> in GP practice</w:t>
      </w:r>
      <w:r>
        <w:t>s</w:t>
      </w:r>
      <w:r w:rsidRPr="005D39B5">
        <w:t xml:space="preserve"> who </w:t>
      </w:r>
      <w:r w:rsidR="000863DB">
        <w:t xml:space="preserve">are </w:t>
      </w:r>
      <w:r w:rsidRPr="005D39B5">
        <w:t xml:space="preserve">receiving a lot of requests to confirm medication from online providers. </w:t>
      </w:r>
      <w:r>
        <w:t>Our m</w:t>
      </w:r>
      <w:r w:rsidRPr="005D39B5">
        <w:t>ember</w:t>
      </w:r>
      <w:r>
        <w:t>s</w:t>
      </w:r>
      <w:r w:rsidRPr="005D39B5">
        <w:t xml:space="preserve"> said this </w:t>
      </w:r>
      <w:r w:rsidR="00CC53A0">
        <w:t>can be</w:t>
      </w:r>
      <w:r w:rsidRPr="005D39B5">
        <w:t xml:space="preserve"> </w:t>
      </w:r>
      <w:r>
        <w:t xml:space="preserve">burdensome and </w:t>
      </w:r>
      <w:r w:rsidRPr="005D39B5">
        <w:t xml:space="preserve">time consuming and </w:t>
      </w:r>
      <w:r w:rsidR="00CC53A0">
        <w:t xml:space="preserve">have </w:t>
      </w:r>
      <w:r>
        <w:t>questioned</w:t>
      </w:r>
      <w:r w:rsidRPr="005D39B5">
        <w:t xml:space="preserve"> where the responsibility for verifying this lay. </w:t>
      </w:r>
      <w:r>
        <w:t>Our members</w:t>
      </w:r>
      <w:r w:rsidRPr="005D39B5">
        <w:t xml:space="preserve"> had come across occasions where the information provided by the patient was not correct. Therefore, clearer guidance on where responsibilities sit and how to ensure you are getting accurate information is needed.  </w:t>
      </w:r>
    </w:p>
    <w:p w14:paraId="73951110" w14:textId="39413BA0" w:rsidR="005D39B5" w:rsidRPr="005D39B5" w:rsidRDefault="005D39B5" w:rsidP="005C543A"/>
    <w:p w14:paraId="6E50B4F2" w14:textId="06431C5E" w:rsidR="00EE452D" w:rsidRPr="00474194" w:rsidRDefault="00EE452D" w:rsidP="005C543A">
      <w:r w:rsidRPr="00474194">
        <w:rPr>
          <w:b/>
          <w:bCs/>
        </w:rPr>
        <w:t>4.2b - Select the appropriate mode of consultation</w:t>
      </w:r>
      <w:r w:rsidRPr="00474194">
        <w:t> - This section references pharmacy professionals, but the mode of consultation should apply to all prescribers that are providing a “pharmacy service” if the previous definitions are to be understood. If this is simply a specific guide only for pharmacist prescribers, then it would warrant being taken out of this guidance and placed in separate prescribing guidance. Also, the term used here is pharmacy professionals, but currently only pharmacists can prescribe.  </w:t>
      </w:r>
    </w:p>
    <w:p w14:paraId="75612E56" w14:textId="77777777" w:rsidR="00DA7D78" w:rsidRDefault="00DA7D78" w:rsidP="004117FA"/>
    <w:p w14:paraId="457A7A8A" w14:textId="1D844D22" w:rsidR="00FD178C" w:rsidRPr="009A318C" w:rsidRDefault="00FD178C" w:rsidP="004117FA">
      <w:pPr>
        <w:rPr>
          <w:b/>
          <w:bCs/>
        </w:rPr>
      </w:pPr>
      <w:r w:rsidRPr="009A318C">
        <w:rPr>
          <w:b/>
          <w:bCs/>
        </w:rPr>
        <w:t>4.2f - Managing medicines safely - Be able to identify inappropriate requests</w:t>
      </w:r>
    </w:p>
    <w:p w14:paraId="0557FDB7" w14:textId="52F8BE38" w:rsidR="00DA7D78" w:rsidRDefault="00FD178C" w:rsidP="004117FA">
      <w:r>
        <w:t>We suggest adding</w:t>
      </w:r>
    </w:p>
    <w:p w14:paraId="601E9871" w14:textId="07FD58F7" w:rsidR="00FD178C" w:rsidRDefault="00FD178C" w:rsidP="009A318C">
      <w:pPr>
        <w:pStyle w:val="ListParagraph"/>
        <w:numPr>
          <w:ilvl w:val="0"/>
          <w:numId w:val="3"/>
        </w:numPr>
      </w:pPr>
      <w:r>
        <w:t>Repeated requests for management of infection symptoms</w:t>
      </w:r>
    </w:p>
    <w:p w14:paraId="4D0BCBB0" w14:textId="0B8D3F8F" w:rsidR="004117FA" w:rsidRDefault="004117FA" w:rsidP="004117FA">
      <w:pPr>
        <w:rPr>
          <w:b/>
          <w:bCs/>
        </w:rPr>
      </w:pPr>
      <w:r w:rsidRPr="004117FA">
        <w:rPr>
          <w:b/>
          <w:bCs/>
        </w:rPr>
        <w:t>4.2h</w:t>
      </w:r>
      <w:r w:rsidRPr="001B4DB9">
        <w:rPr>
          <w:b/>
          <w:bCs/>
        </w:rPr>
        <w:t xml:space="preserve"> -</w:t>
      </w:r>
      <w:r w:rsidRPr="004117FA">
        <w:rPr>
          <w:b/>
          <w:bCs/>
        </w:rPr>
        <w:t xml:space="preserve"> </w:t>
      </w:r>
      <w:r w:rsidRPr="001B4DB9">
        <w:rPr>
          <w:b/>
          <w:bCs/>
        </w:rPr>
        <w:t>Be aware that some medicines are not suitable to be prescribed by a questionnaire model alone, and some should not be supplied unless further safeguards have been put in place</w:t>
      </w:r>
    </w:p>
    <w:p w14:paraId="03F1C4BC" w14:textId="1CA5CD75" w:rsidR="00FD178C" w:rsidRDefault="1ABF3637" w:rsidP="00FD178C">
      <w:r>
        <w:t>As described above we do not believe that the consultation model for prescribing medicines should rely on questionnaires alone and the opportunity to enter into a dialogue with patients must be always available. The list of medicines within this section is useful and we support the proposed additions as outline in the draft.</w:t>
      </w:r>
    </w:p>
    <w:p w14:paraId="46DF9692" w14:textId="1FC7B9C7" w:rsidR="00FD178C" w:rsidRDefault="3A274EB4" w:rsidP="00FD178C">
      <w:r>
        <w:t xml:space="preserve">For antimicrobials, we do not believe antibiotics should be singled out. We suggest that “such as antibiotics” is removed or that all antimicrobials are specified. All antimicrobials are equally important, and the approach contributes to mitigating development of antimicrobial resistance, contributing to the UK national action plan on AMR. </w:t>
      </w:r>
    </w:p>
    <w:p w14:paraId="23881252" w14:textId="51ACCD10" w:rsidR="00FD178C" w:rsidRPr="009A318C" w:rsidRDefault="00FD178C" w:rsidP="004117FA">
      <w:r w:rsidRPr="00311CFC">
        <w:rPr>
          <w:b/>
          <w:bCs/>
        </w:rPr>
        <w:t>We suggest an update to:</w:t>
      </w:r>
      <w:r>
        <w:t xml:space="preserve"> </w:t>
      </w:r>
      <w:r w:rsidRPr="009E6392">
        <w:t>Antimicrobials (</w:t>
      </w:r>
      <w:r w:rsidRPr="00311CFC">
        <w:rPr>
          <w:b/>
          <w:bCs/>
        </w:rPr>
        <w:t>including</w:t>
      </w:r>
      <w:r w:rsidRPr="009E6392">
        <w:t xml:space="preserve"> antibiotics</w:t>
      </w:r>
      <w:r>
        <w:t xml:space="preserve">, </w:t>
      </w:r>
      <w:r w:rsidRPr="00311CFC">
        <w:rPr>
          <w:b/>
          <w:bCs/>
        </w:rPr>
        <w:t xml:space="preserve">antifungals, antivirals, </w:t>
      </w:r>
      <w:proofErr w:type="spellStart"/>
      <w:r w:rsidRPr="00311CFC">
        <w:rPr>
          <w:b/>
          <w:bCs/>
        </w:rPr>
        <w:t>antiparasitics</w:t>
      </w:r>
      <w:proofErr w:type="spellEnd"/>
      <w:r w:rsidRPr="009E6392">
        <w:t xml:space="preserve">), which must take into account antimicrobial </w:t>
      </w:r>
      <w:r w:rsidRPr="00311CFC">
        <w:rPr>
          <w:b/>
          <w:bCs/>
        </w:rPr>
        <w:t>prescribing and</w:t>
      </w:r>
      <w:r>
        <w:t xml:space="preserve"> </w:t>
      </w:r>
      <w:r w:rsidRPr="009E6392">
        <w:t>stewardship guidelines relevant for the person and their setting</w:t>
      </w:r>
      <w:r>
        <w:t>.</w:t>
      </w:r>
    </w:p>
    <w:p w14:paraId="05121BF7" w14:textId="640F9CF1" w:rsidR="004117FA" w:rsidRPr="004117FA" w:rsidRDefault="001B4DB9" w:rsidP="004117FA">
      <w:r w:rsidRPr="001B4DB9">
        <w:t xml:space="preserve">Within this section, consideration should be given to adding to the examples listed </w:t>
      </w:r>
      <w:r w:rsidR="004117FA" w:rsidRPr="004117FA">
        <w:t xml:space="preserve">that medicines used off-label for gender incongruence or gender dysphoria </w:t>
      </w:r>
      <w:r w:rsidRPr="001B4DB9">
        <w:t>to ensure these medicines are never prescribed by a questionnaire model alone.</w:t>
      </w:r>
    </w:p>
    <w:p w14:paraId="7BBF62BF" w14:textId="404F0491" w:rsidR="004117FA" w:rsidRPr="00DA7D78" w:rsidRDefault="00DA7D78" w:rsidP="00E712E7">
      <w:pPr>
        <w:rPr>
          <w:b/>
          <w:bCs/>
        </w:rPr>
      </w:pPr>
      <w:r w:rsidRPr="00DA7D78">
        <w:rPr>
          <w:b/>
          <w:bCs/>
        </w:rPr>
        <w:lastRenderedPageBreak/>
        <w:t xml:space="preserve">5.1 </w:t>
      </w:r>
      <w:r>
        <w:rPr>
          <w:b/>
          <w:bCs/>
        </w:rPr>
        <w:t xml:space="preserve">- </w:t>
      </w:r>
      <w:r w:rsidRPr="00DA7D78">
        <w:rPr>
          <w:b/>
          <w:bCs/>
        </w:rPr>
        <w:t>Specialist equipment and facilities</w:t>
      </w:r>
    </w:p>
    <w:p w14:paraId="02BBAA8C" w14:textId="1D627F25" w:rsidR="00DA7D78" w:rsidRDefault="00DA7D78" w:rsidP="00DA7D78">
      <w:r>
        <w:t>We suggest this</w:t>
      </w:r>
      <w:r w:rsidRPr="00474194">
        <w:t xml:space="preserve"> be amended to require that any decision support software utilised within pharmacies be registered with the MHRA and comply with </w:t>
      </w:r>
      <w:r>
        <w:t xml:space="preserve">the </w:t>
      </w:r>
      <w:r w:rsidRPr="00474194">
        <w:t>relevant NHS digital standards.</w:t>
      </w:r>
    </w:p>
    <w:p w14:paraId="5AE0F248" w14:textId="77777777" w:rsidR="00DA7D78" w:rsidRPr="00FD4C0B" w:rsidRDefault="00DA7D78" w:rsidP="00E712E7"/>
    <w:p w14:paraId="516ABF03" w14:textId="77777777" w:rsidR="00E712E7" w:rsidRPr="005C543A" w:rsidRDefault="00E712E7" w:rsidP="005C543A">
      <w:pPr>
        <w:rPr>
          <w:highlight w:val="yellow"/>
        </w:rPr>
      </w:pPr>
    </w:p>
    <w:p w14:paraId="071857D4" w14:textId="77777777" w:rsidR="00730AA5" w:rsidRPr="00730AA5" w:rsidRDefault="00730AA5" w:rsidP="00730AA5">
      <w:pPr>
        <w:rPr>
          <w:b/>
          <w:bCs/>
        </w:rPr>
      </w:pPr>
      <w:r w:rsidRPr="00730AA5">
        <w:rPr>
          <w:b/>
          <w:bCs/>
        </w:rPr>
        <w:t>3. Do you think our proposals will have a positive or negative impact on individuals or groups who share any of the protected characteristics in the Equality Act 2010? *</w:t>
      </w:r>
    </w:p>
    <w:tbl>
      <w:tblPr>
        <w:tblStyle w:val="TableGrid"/>
        <w:tblW w:w="0" w:type="auto"/>
        <w:tblLook w:val="04A0" w:firstRow="1" w:lastRow="0" w:firstColumn="1" w:lastColumn="0" w:noHBand="0" w:noVBand="1"/>
      </w:tblPr>
      <w:tblGrid>
        <w:gridCol w:w="1584"/>
        <w:gridCol w:w="1485"/>
        <w:gridCol w:w="1486"/>
        <w:gridCol w:w="1487"/>
        <w:gridCol w:w="1487"/>
        <w:gridCol w:w="1487"/>
      </w:tblGrid>
      <w:tr w:rsidR="0056310F" w:rsidRPr="0056310F" w14:paraId="0B49633A" w14:textId="77777777" w:rsidTr="0056310F">
        <w:tc>
          <w:tcPr>
            <w:tcW w:w="1584" w:type="dxa"/>
          </w:tcPr>
          <w:p w14:paraId="4F1CFC06" w14:textId="5351F54A" w:rsidR="0056310F" w:rsidRPr="0056310F" w:rsidRDefault="0056310F" w:rsidP="0056310F">
            <w:pPr>
              <w:rPr>
                <w:b/>
                <w:bCs/>
              </w:rPr>
            </w:pPr>
          </w:p>
        </w:tc>
        <w:tc>
          <w:tcPr>
            <w:tcW w:w="1485" w:type="dxa"/>
          </w:tcPr>
          <w:p w14:paraId="25FD4547" w14:textId="466E419D" w:rsidR="0056310F" w:rsidRPr="0056310F" w:rsidRDefault="0056310F" w:rsidP="0056310F">
            <w:pPr>
              <w:rPr>
                <w:b/>
                <w:bCs/>
              </w:rPr>
            </w:pPr>
            <w:r w:rsidRPr="0056310F">
              <w:rPr>
                <w:b/>
                <w:bCs/>
              </w:rPr>
              <w:t>Positive impact</w:t>
            </w:r>
          </w:p>
        </w:tc>
        <w:tc>
          <w:tcPr>
            <w:tcW w:w="1486" w:type="dxa"/>
          </w:tcPr>
          <w:p w14:paraId="00577922" w14:textId="0ED7FA22" w:rsidR="0056310F" w:rsidRPr="0056310F" w:rsidRDefault="0056310F" w:rsidP="0056310F">
            <w:pPr>
              <w:rPr>
                <w:b/>
                <w:bCs/>
              </w:rPr>
            </w:pPr>
            <w:r w:rsidRPr="0056310F">
              <w:rPr>
                <w:b/>
                <w:bCs/>
              </w:rPr>
              <w:t>Negative impact</w:t>
            </w:r>
          </w:p>
        </w:tc>
        <w:tc>
          <w:tcPr>
            <w:tcW w:w="1487" w:type="dxa"/>
          </w:tcPr>
          <w:p w14:paraId="36CEB3A4" w14:textId="0EA39284" w:rsidR="0056310F" w:rsidRPr="0056310F" w:rsidRDefault="0056310F" w:rsidP="0056310F">
            <w:pPr>
              <w:rPr>
                <w:b/>
                <w:bCs/>
              </w:rPr>
            </w:pPr>
            <w:r w:rsidRPr="0056310F">
              <w:rPr>
                <w:b/>
                <w:bCs/>
              </w:rPr>
              <w:t>Positive and negative impact</w:t>
            </w:r>
          </w:p>
        </w:tc>
        <w:tc>
          <w:tcPr>
            <w:tcW w:w="1487" w:type="dxa"/>
          </w:tcPr>
          <w:p w14:paraId="32CE6D74" w14:textId="34389337" w:rsidR="0056310F" w:rsidRPr="0056310F" w:rsidRDefault="0056310F" w:rsidP="0056310F">
            <w:pPr>
              <w:rPr>
                <w:b/>
                <w:bCs/>
              </w:rPr>
            </w:pPr>
            <w:r w:rsidRPr="0056310F">
              <w:rPr>
                <w:b/>
                <w:bCs/>
              </w:rPr>
              <w:t>No impact</w:t>
            </w:r>
          </w:p>
        </w:tc>
        <w:tc>
          <w:tcPr>
            <w:tcW w:w="1487" w:type="dxa"/>
          </w:tcPr>
          <w:p w14:paraId="3449B8F5" w14:textId="797486D5" w:rsidR="0056310F" w:rsidRPr="0056310F" w:rsidRDefault="0056310F" w:rsidP="0056310F">
            <w:pPr>
              <w:rPr>
                <w:b/>
                <w:bCs/>
              </w:rPr>
            </w:pPr>
            <w:r w:rsidRPr="0056310F">
              <w:rPr>
                <w:b/>
                <w:bCs/>
              </w:rPr>
              <w:t>Don't know</w:t>
            </w:r>
          </w:p>
        </w:tc>
      </w:tr>
      <w:tr w:rsidR="0056310F" w:rsidRPr="0056310F" w14:paraId="74B8C5E4" w14:textId="77777777" w:rsidTr="0056310F">
        <w:tc>
          <w:tcPr>
            <w:tcW w:w="1584" w:type="dxa"/>
          </w:tcPr>
          <w:p w14:paraId="197061D8" w14:textId="77777777" w:rsidR="0056310F" w:rsidRPr="0056310F" w:rsidRDefault="0056310F" w:rsidP="00D6255E">
            <w:pPr>
              <w:rPr>
                <w:b/>
                <w:bCs/>
              </w:rPr>
            </w:pPr>
            <w:r w:rsidRPr="0056310F">
              <w:rPr>
                <w:b/>
                <w:bCs/>
              </w:rPr>
              <w:t>Age</w:t>
            </w:r>
          </w:p>
        </w:tc>
        <w:tc>
          <w:tcPr>
            <w:tcW w:w="1485" w:type="dxa"/>
          </w:tcPr>
          <w:p w14:paraId="076650AC" w14:textId="058801F5" w:rsidR="0056310F" w:rsidRPr="0056310F" w:rsidRDefault="0056310F" w:rsidP="00D6255E">
            <w:pPr>
              <w:rPr>
                <w:b/>
                <w:bCs/>
              </w:rPr>
            </w:pPr>
          </w:p>
        </w:tc>
        <w:tc>
          <w:tcPr>
            <w:tcW w:w="1486" w:type="dxa"/>
          </w:tcPr>
          <w:p w14:paraId="7B31889C" w14:textId="77777777" w:rsidR="0056310F" w:rsidRPr="0056310F" w:rsidRDefault="0056310F" w:rsidP="00D6255E">
            <w:pPr>
              <w:rPr>
                <w:b/>
                <w:bCs/>
              </w:rPr>
            </w:pPr>
          </w:p>
        </w:tc>
        <w:tc>
          <w:tcPr>
            <w:tcW w:w="1487" w:type="dxa"/>
          </w:tcPr>
          <w:p w14:paraId="3652B65E" w14:textId="67888733" w:rsidR="0056310F" w:rsidRPr="0056310F" w:rsidRDefault="00DD7817" w:rsidP="00D6255E">
            <w:pPr>
              <w:rPr>
                <w:b/>
                <w:bCs/>
              </w:rPr>
            </w:pPr>
            <w:r>
              <w:rPr>
                <w:b/>
                <w:bCs/>
              </w:rPr>
              <w:t>X</w:t>
            </w:r>
          </w:p>
        </w:tc>
        <w:tc>
          <w:tcPr>
            <w:tcW w:w="1487" w:type="dxa"/>
          </w:tcPr>
          <w:p w14:paraId="1E2B0AFE" w14:textId="77777777" w:rsidR="0056310F" w:rsidRPr="0056310F" w:rsidRDefault="0056310F" w:rsidP="00D6255E">
            <w:pPr>
              <w:rPr>
                <w:b/>
                <w:bCs/>
              </w:rPr>
            </w:pPr>
          </w:p>
        </w:tc>
        <w:tc>
          <w:tcPr>
            <w:tcW w:w="1487" w:type="dxa"/>
          </w:tcPr>
          <w:p w14:paraId="745179C1" w14:textId="77777777" w:rsidR="0056310F" w:rsidRPr="0056310F" w:rsidRDefault="0056310F" w:rsidP="00D6255E">
            <w:pPr>
              <w:rPr>
                <w:b/>
                <w:bCs/>
              </w:rPr>
            </w:pPr>
          </w:p>
        </w:tc>
      </w:tr>
      <w:tr w:rsidR="0056310F" w:rsidRPr="0056310F" w14:paraId="7DEA91E4" w14:textId="77777777" w:rsidTr="0056310F">
        <w:tc>
          <w:tcPr>
            <w:tcW w:w="1584" w:type="dxa"/>
          </w:tcPr>
          <w:p w14:paraId="6F8CA181" w14:textId="77777777" w:rsidR="0056310F" w:rsidRPr="0056310F" w:rsidRDefault="0056310F" w:rsidP="00D6255E">
            <w:pPr>
              <w:rPr>
                <w:b/>
                <w:bCs/>
              </w:rPr>
            </w:pPr>
            <w:r w:rsidRPr="0056310F">
              <w:rPr>
                <w:b/>
                <w:bCs/>
              </w:rPr>
              <w:t>Disability</w:t>
            </w:r>
          </w:p>
        </w:tc>
        <w:tc>
          <w:tcPr>
            <w:tcW w:w="1485" w:type="dxa"/>
          </w:tcPr>
          <w:p w14:paraId="011CBE70" w14:textId="568EFE8E" w:rsidR="0056310F" w:rsidRPr="0056310F" w:rsidRDefault="00DD7817" w:rsidP="00D6255E">
            <w:pPr>
              <w:rPr>
                <w:b/>
                <w:bCs/>
              </w:rPr>
            </w:pPr>
            <w:r>
              <w:rPr>
                <w:b/>
                <w:bCs/>
              </w:rPr>
              <w:t>X</w:t>
            </w:r>
          </w:p>
        </w:tc>
        <w:tc>
          <w:tcPr>
            <w:tcW w:w="1486" w:type="dxa"/>
          </w:tcPr>
          <w:p w14:paraId="46C289CE" w14:textId="77777777" w:rsidR="0056310F" w:rsidRPr="0056310F" w:rsidRDefault="0056310F" w:rsidP="00D6255E">
            <w:pPr>
              <w:rPr>
                <w:b/>
                <w:bCs/>
              </w:rPr>
            </w:pPr>
          </w:p>
        </w:tc>
        <w:tc>
          <w:tcPr>
            <w:tcW w:w="1487" w:type="dxa"/>
          </w:tcPr>
          <w:p w14:paraId="302D89BE" w14:textId="77777777" w:rsidR="0056310F" w:rsidRPr="0056310F" w:rsidRDefault="0056310F" w:rsidP="00D6255E">
            <w:pPr>
              <w:rPr>
                <w:b/>
                <w:bCs/>
              </w:rPr>
            </w:pPr>
          </w:p>
        </w:tc>
        <w:tc>
          <w:tcPr>
            <w:tcW w:w="1487" w:type="dxa"/>
          </w:tcPr>
          <w:p w14:paraId="5E09FE29" w14:textId="77777777" w:rsidR="0056310F" w:rsidRPr="0056310F" w:rsidRDefault="0056310F" w:rsidP="00D6255E">
            <w:pPr>
              <w:rPr>
                <w:b/>
                <w:bCs/>
              </w:rPr>
            </w:pPr>
          </w:p>
        </w:tc>
        <w:tc>
          <w:tcPr>
            <w:tcW w:w="1487" w:type="dxa"/>
          </w:tcPr>
          <w:p w14:paraId="40685751" w14:textId="77777777" w:rsidR="0056310F" w:rsidRPr="0056310F" w:rsidRDefault="0056310F" w:rsidP="00D6255E">
            <w:pPr>
              <w:rPr>
                <w:b/>
                <w:bCs/>
              </w:rPr>
            </w:pPr>
          </w:p>
        </w:tc>
      </w:tr>
      <w:tr w:rsidR="0056310F" w:rsidRPr="0056310F" w14:paraId="755D7F80" w14:textId="77777777" w:rsidTr="0056310F">
        <w:tc>
          <w:tcPr>
            <w:tcW w:w="1584" w:type="dxa"/>
          </w:tcPr>
          <w:p w14:paraId="2AEBE55F" w14:textId="77777777" w:rsidR="0056310F" w:rsidRPr="0056310F" w:rsidRDefault="0056310F" w:rsidP="00D6255E">
            <w:pPr>
              <w:rPr>
                <w:b/>
                <w:bCs/>
              </w:rPr>
            </w:pPr>
            <w:r w:rsidRPr="0056310F">
              <w:rPr>
                <w:b/>
                <w:bCs/>
              </w:rPr>
              <w:t>Gender reassignment</w:t>
            </w:r>
          </w:p>
        </w:tc>
        <w:tc>
          <w:tcPr>
            <w:tcW w:w="1485" w:type="dxa"/>
          </w:tcPr>
          <w:p w14:paraId="36CB25A2" w14:textId="77777777" w:rsidR="0056310F" w:rsidRPr="0056310F" w:rsidRDefault="0056310F" w:rsidP="00D6255E">
            <w:pPr>
              <w:rPr>
                <w:b/>
                <w:bCs/>
              </w:rPr>
            </w:pPr>
          </w:p>
        </w:tc>
        <w:tc>
          <w:tcPr>
            <w:tcW w:w="1486" w:type="dxa"/>
          </w:tcPr>
          <w:p w14:paraId="2A6F9391" w14:textId="77777777" w:rsidR="0056310F" w:rsidRPr="0056310F" w:rsidRDefault="0056310F" w:rsidP="00D6255E">
            <w:pPr>
              <w:rPr>
                <w:b/>
                <w:bCs/>
              </w:rPr>
            </w:pPr>
          </w:p>
        </w:tc>
        <w:tc>
          <w:tcPr>
            <w:tcW w:w="1487" w:type="dxa"/>
          </w:tcPr>
          <w:p w14:paraId="157CE1BE" w14:textId="77777777" w:rsidR="0056310F" w:rsidRPr="0056310F" w:rsidRDefault="0056310F" w:rsidP="00D6255E">
            <w:pPr>
              <w:rPr>
                <w:b/>
                <w:bCs/>
              </w:rPr>
            </w:pPr>
          </w:p>
        </w:tc>
        <w:tc>
          <w:tcPr>
            <w:tcW w:w="1487" w:type="dxa"/>
          </w:tcPr>
          <w:p w14:paraId="72ECF51C" w14:textId="77777777" w:rsidR="0056310F" w:rsidRPr="0056310F" w:rsidRDefault="0056310F" w:rsidP="00D6255E">
            <w:pPr>
              <w:rPr>
                <w:b/>
                <w:bCs/>
              </w:rPr>
            </w:pPr>
          </w:p>
        </w:tc>
        <w:tc>
          <w:tcPr>
            <w:tcW w:w="1487" w:type="dxa"/>
          </w:tcPr>
          <w:p w14:paraId="07843121" w14:textId="46C8724A" w:rsidR="0056310F" w:rsidRPr="0056310F" w:rsidRDefault="00DD7817" w:rsidP="00D6255E">
            <w:pPr>
              <w:rPr>
                <w:b/>
                <w:bCs/>
              </w:rPr>
            </w:pPr>
            <w:r>
              <w:rPr>
                <w:b/>
                <w:bCs/>
              </w:rPr>
              <w:t>X</w:t>
            </w:r>
          </w:p>
        </w:tc>
      </w:tr>
      <w:tr w:rsidR="0056310F" w:rsidRPr="0056310F" w14:paraId="2014D2CA" w14:textId="77777777" w:rsidTr="0056310F">
        <w:tc>
          <w:tcPr>
            <w:tcW w:w="1584" w:type="dxa"/>
          </w:tcPr>
          <w:p w14:paraId="1EF13A67" w14:textId="77777777" w:rsidR="0056310F" w:rsidRPr="0056310F" w:rsidRDefault="0056310F" w:rsidP="00D6255E">
            <w:pPr>
              <w:rPr>
                <w:b/>
                <w:bCs/>
              </w:rPr>
            </w:pPr>
            <w:r w:rsidRPr="0056310F">
              <w:rPr>
                <w:b/>
                <w:bCs/>
              </w:rPr>
              <w:t>Marriage and civil partnership</w:t>
            </w:r>
          </w:p>
        </w:tc>
        <w:tc>
          <w:tcPr>
            <w:tcW w:w="1485" w:type="dxa"/>
          </w:tcPr>
          <w:p w14:paraId="275A4049" w14:textId="77777777" w:rsidR="0056310F" w:rsidRPr="0056310F" w:rsidRDefault="0056310F" w:rsidP="00D6255E">
            <w:pPr>
              <w:rPr>
                <w:b/>
                <w:bCs/>
              </w:rPr>
            </w:pPr>
          </w:p>
        </w:tc>
        <w:tc>
          <w:tcPr>
            <w:tcW w:w="1486" w:type="dxa"/>
          </w:tcPr>
          <w:p w14:paraId="4C60F335" w14:textId="77777777" w:rsidR="0056310F" w:rsidRPr="0056310F" w:rsidRDefault="0056310F" w:rsidP="00D6255E">
            <w:pPr>
              <w:rPr>
                <w:b/>
                <w:bCs/>
              </w:rPr>
            </w:pPr>
          </w:p>
        </w:tc>
        <w:tc>
          <w:tcPr>
            <w:tcW w:w="1487" w:type="dxa"/>
          </w:tcPr>
          <w:p w14:paraId="3E5F050E" w14:textId="77777777" w:rsidR="0056310F" w:rsidRPr="0056310F" w:rsidRDefault="0056310F" w:rsidP="00D6255E">
            <w:pPr>
              <w:rPr>
                <w:b/>
                <w:bCs/>
              </w:rPr>
            </w:pPr>
          </w:p>
        </w:tc>
        <w:tc>
          <w:tcPr>
            <w:tcW w:w="1487" w:type="dxa"/>
          </w:tcPr>
          <w:p w14:paraId="5E51CAE4" w14:textId="77777777" w:rsidR="0056310F" w:rsidRPr="0056310F" w:rsidRDefault="0056310F" w:rsidP="00D6255E">
            <w:pPr>
              <w:rPr>
                <w:b/>
                <w:bCs/>
              </w:rPr>
            </w:pPr>
          </w:p>
        </w:tc>
        <w:tc>
          <w:tcPr>
            <w:tcW w:w="1487" w:type="dxa"/>
          </w:tcPr>
          <w:p w14:paraId="02E180BF" w14:textId="12D55F85" w:rsidR="0056310F" w:rsidRPr="0056310F" w:rsidRDefault="00DD7817" w:rsidP="00D6255E">
            <w:pPr>
              <w:rPr>
                <w:b/>
                <w:bCs/>
              </w:rPr>
            </w:pPr>
            <w:r>
              <w:rPr>
                <w:b/>
                <w:bCs/>
              </w:rPr>
              <w:t>X</w:t>
            </w:r>
          </w:p>
        </w:tc>
      </w:tr>
      <w:tr w:rsidR="0056310F" w:rsidRPr="0056310F" w14:paraId="43CA3BF7" w14:textId="77777777" w:rsidTr="0056310F">
        <w:tc>
          <w:tcPr>
            <w:tcW w:w="1584" w:type="dxa"/>
          </w:tcPr>
          <w:p w14:paraId="59E75A16" w14:textId="77777777" w:rsidR="0056310F" w:rsidRPr="0056310F" w:rsidRDefault="0056310F" w:rsidP="00D6255E">
            <w:pPr>
              <w:rPr>
                <w:b/>
                <w:bCs/>
              </w:rPr>
            </w:pPr>
            <w:r w:rsidRPr="0056310F">
              <w:rPr>
                <w:b/>
                <w:bCs/>
              </w:rPr>
              <w:t>Pregnancy and maternity</w:t>
            </w:r>
          </w:p>
        </w:tc>
        <w:tc>
          <w:tcPr>
            <w:tcW w:w="1485" w:type="dxa"/>
          </w:tcPr>
          <w:p w14:paraId="1B77F282" w14:textId="1EBE349B" w:rsidR="0056310F" w:rsidRPr="0056310F" w:rsidRDefault="00DD7817" w:rsidP="00D6255E">
            <w:pPr>
              <w:rPr>
                <w:b/>
                <w:bCs/>
              </w:rPr>
            </w:pPr>
            <w:r>
              <w:rPr>
                <w:b/>
                <w:bCs/>
              </w:rPr>
              <w:t>X</w:t>
            </w:r>
          </w:p>
        </w:tc>
        <w:tc>
          <w:tcPr>
            <w:tcW w:w="1486" w:type="dxa"/>
          </w:tcPr>
          <w:p w14:paraId="639F2A02" w14:textId="77777777" w:rsidR="0056310F" w:rsidRPr="0056310F" w:rsidRDefault="0056310F" w:rsidP="00D6255E">
            <w:pPr>
              <w:rPr>
                <w:b/>
                <w:bCs/>
              </w:rPr>
            </w:pPr>
          </w:p>
        </w:tc>
        <w:tc>
          <w:tcPr>
            <w:tcW w:w="1487" w:type="dxa"/>
          </w:tcPr>
          <w:p w14:paraId="6C1B8530" w14:textId="77777777" w:rsidR="0056310F" w:rsidRPr="0056310F" w:rsidRDefault="0056310F" w:rsidP="00D6255E">
            <w:pPr>
              <w:rPr>
                <w:b/>
                <w:bCs/>
              </w:rPr>
            </w:pPr>
          </w:p>
        </w:tc>
        <w:tc>
          <w:tcPr>
            <w:tcW w:w="1487" w:type="dxa"/>
          </w:tcPr>
          <w:p w14:paraId="76D162F1" w14:textId="77777777" w:rsidR="0056310F" w:rsidRPr="0056310F" w:rsidRDefault="0056310F" w:rsidP="00D6255E">
            <w:pPr>
              <w:rPr>
                <w:b/>
                <w:bCs/>
              </w:rPr>
            </w:pPr>
          </w:p>
        </w:tc>
        <w:tc>
          <w:tcPr>
            <w:tcW w:w="1487" w:type="dxa"/>
          </w:tcPr>
          <w:p w14:paraId="59CDB5F4" w14:textId="77777777" w:rsidR="0056310F" w:rsidRPr="0056310F" w:rsidRDefault="0056310F" w:rsidP="00D6255E">
            <w:pPr>
              <w:rPr>
                <w:b/>
                <w:bCs/>
              </w:rPr>
            </w:pPr>
          </w:p>
        </w:tc>
      </w:tr>
      <w:tr w:rsidR="0056310F" w:rsidRPr="0056310F" w14:paraId="3EE94E94" w14:textId="77777777" w:rsidTr="0056310F">
        <w:tc>
          <w:tcPr>
            <w:tcW w:w="1584" w:type="dxa"/>
          </w:tcPr>
          <w:p w14:paraId="406B42E7" w14:textId="77777777" w:rsidR="0056310F" w:rsidRPr="0056310F" w:rsidRDefault="0056310F" w:rsidP="00D6255E">
            <w:pPr>
              <w:rPr>
                <w:b/>
                <w:bCs/>
              </w:rPr>
            </w:pPr>
            <w:r w:rsidRPr="0056310F">
              <w:rPr>
                <w:b/>
                <w:bCs/>
              </w:rPr>
              <w:t>Race</w:t>
            </w:r>
          </w:p>
        </w:tc>
        <w:tc>
          <w:tcPr>
            <w:tcW w:w="1485" w:type="dxa"/>
          </w:tcPr>
          <w:p w14:paraId="6DF27F64" w14:textId="77777777" w:rsidR="0056310F" w:rsidRPr="0056310F" w:rsidRDefault="0056310F" w:rsidP="00D6255E">
            <w:pPr>
              <w:rPr>
                <w:b/>
                <w:bCs/>
              </w:rPr>
            </w:pPr>
          </w:p>
        </w:tc>
        <w:tc>
          <w:tcPr>
            <w:tcW w:w="1486" w:type="dxa"/>
          </w:tcPr>
          <w:p w14:paraId="0B0E199D" w14:textId="77777777" w:rsidR="0056310F" w:rsidRPr="0056310F" w:rsidRDefault="0056310F" w:rsidP="00D6255E">
            <w:pPr>
              <w:rPr>
                <w:b/>
                <w:bCs/>
              </w:rPr>
            </w:pPr>
          </w:p>
        </w:tc>
        <w:tc>
          <w:tcPr>
            <w:tcW w:w="1487" w:type="dxa"/>
          </w:tcPr>
          <w:p w14:paraId="36F9604C" w14:textId="77777777" w:rsidR="0056310F" w:rsidRPr="0056310F" w:rsidRDefault="0056310F" w:rsidP="00D6255E">
            <w:pPr>
              <w:rPr>
                <w:b/>
                <w:bCs/>
              </w:rPr>
            </w:pPr>
          </w:p>
        </w:tc>
        <w:tc>
          <w:tcPr>
            <w:tcW w:w="1487" w:type="dxa"/>
          </w:tcPr>
          <w:p w14:paraId="17F0094C" w14:textId="77777777" w:rsidR="0056310F" w:rsidRPr="0056310F" w:rsidRDefault="0056310F" w:rsidP="00D6255E">
            <w:pPr>
              <w:rPr>
                <w:b/>
                <w:bCs/>
              </w:rPr>
            </w:pPr>
          </w:p>
        </w:tc>
        <w:tc>
          <w:tcPr>
            <w:tcW w:w="1487" w:type="dxa"/>
          </w:tcPr>
          <w:p w14:paraId="6EA1593C" w14:textId="01F4D622" w:rsidR="0056310F" w:rsidRPr="0056310F" w:rsidRDefault="00DD7817" w:rsidP="00D6255E">
            <w:pPr>
              <w:rPr>
                <w:b/>
                <w:bCs/>
              </w:rPr>
            </w:pPr>
            <w:r>
              <w:rPr>
                <w:b/>
                <w:bCs/>
              </w:rPr>
              <w:t>X</w:t>
            </w:r>
          </w:p>
        </w:tc>
      </w:tr>
      <w:tr w:rsidR="0056310F" w:rsidRPr="0056310F" w14:paraId="79B03DD2" w14:textId="77777777" w:rsidTr="0056310F">
        <w:tc>
          <w:tcPr>
            <w:tcW w:w="1584" w:type="dxa"/>
          </w:tcPr>
          <w:p w14:paraId="1778604E" w14:textId="77777777" w:rsidR="0056310F" w:rsidRPr="0056310F" w:rsidRDefault="0056310F" w:rsidP="00D6255E">
            <w:pPr>
              <w:rPr>
                <w:b/>
                <w:bCs/>
              </w:rPr>
            </w:pPr>
            <w:r w:rsidRPr="0056310F">
              <w:rPr>
                <w:b/>
                <w:bCs/>
              </w:rPr>
              <w:t>Religion or belief</w:t>
            </w:r>
          </w:p>
        </w:tc>
        <w:tc>
          <w:tcPr>
            <w:tcW w:w="1485" w:type="dxa"/>
          </w:tcPr>
          <w:p w14:paraId="00135054" w14:textId="77777777" w:rsidR="0056310F" w:rsidRPr="0056310F" w:rsidRDefault="0056310F" w:rsidP="00D6255E">
            <w:pPr>
              <w:rPr>
                <w:b/>
                <w:bCs/>
              </w:rPr>
            </w:pPr>
          </w:p>
        </w:tc>
        <w:tc>
          <w:tcPr>
            <w:tcW w:w="1486" w:type="dxa"/>
          </w:tcPr>
          <w:p w14:paraId="7FFD5EA2" w14:textId="77777777" w:rsidR="0056310F" w:rsidRPr="0056310F" w:rsidRDefault="0056310F" w:rsidP="00D6255E">
            <w:pPr>
              <w:rPr>
                <w:b/>
                <w:bCs/>
              </w:rPr>
            </w:pPr>
          </w:p>
        </w:tc>
        <w:tc>
          <w:tcPr>
            <w:tcW w:w="1487" w:type="dxa"/>
          </w:tcPr>
          <w:p w14:paraId="36246EEE" w14:textId="77777777" w:rsidR="0056310F" w:rsidRPr="0056310F" w:rsidRDefault="0056310F" w:rsidP="00D6255E">
            <w:pPr>
              <w:rPr>
                <w:b/>
                <w:bCs/>
              </w:rPr>
            </w:pPr>
          </w:p>
        </w:tc>
        <w:tc>
          <w:tcPr>
            <w:tcW w:w="1487" w:type="dxa"/>
          </w:tcPr>
          <w:p w14:paraId="2EC06E50" w14:textId="77777777" w:rsidR="0056310F" w:rsidRPr="0056310F" w:rsidRDefault="0056310F" w:rsidP="00D6255E">
            <w:pPr>
              <w:rPr>
                <w:b/>
                <w:bCs/>
              </w:rPr>
            </w:pPr>
          </w:p>
        </w:tc>
        <w:tc>
          <w:tcPr>
            <w:tcW w:w="1487" w:type="dxa"/>
          </w:tcPr>
          <w:p w14:paraId="2754C257" w14:textId="28C79631" w:rsidR="0056310F" w:rsidRPr="0056310F" w:rsidRDefault="00DD7817" w:rsidP="00D6255E">
            <w:pPr>
              <w:rPr>
                <w:b/>
                <w:bCs/>
              </w:rPr>
            </w:pPr>
            <w:r>
              <w:rPr>
                <w:b/>
                <w:bCs/>
              </w:rPr>
              <w:t>X</w:t>
            </w:r>
          </w:p>
        </w:tc>
      </w:tr>
      <w:tr w:rsidR="0056310F" w:rsidRPr="0056310F" w14:paraId="6494A35B" w14:textId="77777777" w:rsidTr="0056310F">
        <w:tc>
          <w:tcPr>
            <w:tcW w:w="1584" w:type="dxa"/>
          </w:tcPr>
          <w:p w14:paraId="7940A6A9" w14:textId="77777777" w:rsidR="0056310F" w:rsidRPr="0056310F" w:rsidRDefault="0056310F" w:rsidP="00D6255E">
            <w:pPr>
              <w:rPr>
                <w:b/>
                <w:bCs/>
              </w:rPr>
            </w:pPr>
            <w:r w:rsidRPr="0056310F">
              <w:rPr>
                <w:b/>
                <w:bCs/>
              </w:rPr>
              <w:t>Sex</w:t>
            </w:r>
          </w:p>
        </w:tc>
        <w:tc>
          <w:tcPr>
            <w:tcW w:w="1485" w:type="dxa"/>
          </w:tcPr>
          <w:p w14:paraId="40468786" w14:textId="77777777" w:rsidR="0056310F" w:rsidRPr="0056310F" w:rsidRDefault="0056310F" w:rsidP="00D6255E">
            <w:pPr>
              <w:rPr>
                <w:b/>
                <w:bCs/>
              </w:rPr>
            </w:pPr>
          </w:p>
        </w:tc>
        <w:tc>
          <w:tcPr>
            <w:tcW w:w="1486" w:type="dxa"/>
          </w:tcPr>
          <w:p w14:paraId="6CC9E955" w14:textId="77777777" w:rsidR="0056310F" w:rsidRPr="0056310F" w:rsidRDefault="0056310F" w:rsidP="00D6255E">
            <w:pPr>
              <w:rPr>
                <w:b/>
                <w:bCs/>
              </w:rPr>
            </w:pPr>
          </w:p>
        </w:tc>
        <w:tc>
          <w:tcPr>
            <w:tcW w:w="1487" w:type="dxa"/>
          </w:tcPr>
          <w:p w14:paraId="190950ED" w14:textId="77777777" w:rsidR="0056310F" w:rsidRPr="0056310F" w:rsidRDefault="0056310F" w:rsidP="00D6255E">
            <w:pPr>
              <w:rPr>
                <w:b/>
                <w:bCs/>
              </w:rPr>
            </w:pPr>
          </w:p>
        </w:tc>
        <w:tc>
          <w:tcPr>
            <w:tcW w:w="1487" w:type="dxa"/>
          </w:tcPr>
          <w:p w14:paraId="15724F12" w14:textId="77777777" w:rsidR="0056310F" w:rsidRPr="0056310F" w:rsidRDefault="0056310F" w:rsidP="00D6255E">
            <w:pPr>
              <w:rPr>
                <w:b/>
                <w:bCs/>
              </w:rPr>
            </w:pPr>
          </w:p>
        </w:tc>
        <w:tc>
          <w:tcPr>
            <w:tcW w:w="1487" w:type="dxa"/>
          </w:tcPr>
          <w:p w14:paraId="5D501724" w14:textId="0BD9A65B" w:rsidR="0056310F" w:rsidRPr="0056310F" w:rsidRDefault="00DD7817" w:rsidP="00D6255E">
            <w:pPr>
              <w:rPr>
                <w:b/>
                <w:bCs/>
              </w:rPr>
            </w:pPr>
            <w:r>
              <w:rPr>
                <w:b/>
                <w:bCs/>
              </w:rPr>
              <w:t>X</w:t>
            </w:r>
          </w:p>
        </w:tc>
      </w:tr>
      <w:tr w:rsidR="0056310F" w:rsidRPr="0056310F" w14:paraId="7FD76EFE" w14:textId="77777777" w:rsidTr="0056310F">
        <w:tc>
          <w:tcPr>
            <w:tcW w:w="1584" w:type="dxa"/>
          </w:tcPr>
          <w:p w14:paraId="354BCDC0" w14:textId="77777777" w:rsidR="0056310F" w:rsidRPr="0056310F" w:rsidRDefault="0056310F" w:rsidP="00D6255E">
            <w:pPr>
              <w:rPr>
                <w:b/>
                <w:bCs/>
              </w:rPr>
            </w:pPr>
            <w:r w:rsidRPr="0056310F">
              <w:rPr>
                <w:b/>
                <w:bCs/>
              </w:rPr>
              <w:t>Sexual orientation</w:t>
            </w:r>
          </w:p>
        </w:tc>
        <w:tc>
          <w:tcPr>
            <w:tcW w:w="1485" w:type="dxa"/>
          </w:tcPr>
          <w:p w14:paraId="3821039C" w14:textId="77777777" w:rsidR="0056310F" w:rsidRPr="0056310F" w:rsidRDefault="0056310F" w:rsidP="00D6255E">
            <w:pPr>
              <w:rPr>
                <w:b/>
                <w:bCs/>
              </w:rPr>
            </w:pPr>
          </w:p>
        </w:tc>
        <w:tc>
          <w:tcPr>
            <w:tcW w:w="1486" w:type="dxa"/>
          </w:tcPr>
          <w:p w14:paraId="65944EBD" w14:textId="77777777" w:rsidR="0056310F" w:rsidRPr="0056310F" w:rsidRDefault="0056310F" w:rsidP="00D6255E">
            <w:pPr>
              <w:rPr>
                <w:b/>
                <w:bCs/>
              </w:rPr>
            </w:pPr>
          </w:p>
        </w:tc>
        <w:tc>
          <w:tcPr>
            <w:tcW w:w="1487" w:type="dxa"/>
          </w:tcPr>
          <w:p w14:paraId="059D850D" w14:textId="77777777" w:rsidR="0056310F" w:rsidRPr="0056310F" w:rsidRDefault="0056310F" w:rsidP="00D6255E">
            <w:pPr>
              <w:rPr>
                <w:b/>
                <w:bCs/>
              </w:rPr>
            </w:pPr>
          </w:p>
        </w:tc>
        <w:tc>
          <w:tcPr>
            <w:tcW w:w="1487" w:type="dxa"/>
          </w:tcPr>
          <w:p w14:paraId="0705F5C7" w14:textId="77777777" w:rsidR="0056310F" w:rsidRPr="0056310F" w:rsidRDefault="0056310F" w:rsidP="00D6255E">
            <w:pPr>
              <w:rPr>
                <w:b/>
                <w:bCs/>
              </w:rPr>
            </w:pPr>
          </w:p>
        </w:tc>
        <w:tc>
          <w:tcPr>
            <w:tcW w:w="1487" w:type="dxa"/>
          </w:tcPr>
          <w:p w14:paraId="0AB293A9" w14:textId="37CF9F4A" w:rsidR="0056310F" w:rsidRPr="0056310F" w:rsidRDefault="00DD7817" w:rsidP="00D6255E">
            <w:pPr>
              <w:rPr>
                <w:b/>
                <w:bCs/>
              </w:rPr>
            </w:pPr>
            <w:r>
              <w:rPr>
                <w:b/>
                <w:bCs/>
              </w:rPr>
              <w:t>X</w:t>
            </w:r>
          </w:p>
        </w:tc>
      </w:tr>
    </w:tbl>
    <w:p w14:paraId="48F93339" w14:textId="77777777" w:rsidR="00730AA5" w:rsidRPr="00730AA5" w:rsidRDefault="00730AA5" w:rsidP="00730AA5">
      <w:pPr>
        <w:rPr>
          <w:b/>
          <w:bCs/>
        </w:rPr>
      </w:pPr>
      <w:r w:rsidRPr="00730AA5">
        <w:rPr>
          <w:b/>
          <w:bCs/>
        </w:rPr>
        <w:t xml:space="preserve"> </w:t>
      </w:r>
    </w:p>
    <w:p w14:paraId="1B2EDF56" w14:textId="77777777" w:rsidR="00730AA5" w:rsidRPr="00730AA5" w:rsidRDefault="00730AA5" w:rsidP="00730AA5">
      <w:pPr>
        <w:rPr>
          <w:b/>
          <w:bCs/>
        </w:rPr>
      </w:pPr>
      <w:r w:rsidRPr="00730AA5">
        <w:rPr>
          <w:b/>
          <w:bCs/>
        </w:rPr>
        <w:t>4. Do you think our proposals will have a positive or negative impact on each of the following groups? *</w:t>
      </w:r>
    </w:p>
    <w:tbl>
      <w:tblPr>
        <w:tblStyle w:val="TableGrid"/>
        <w:tblW w:w="0" w:type="auto"/>
        <w:tblLook w:val="04A0" w:firstRow="1" w:lastRow="0" w:firstColumn="1" w:lastColumn="0" w:noHBand="0" w:noVBand="1"/>
      </w:tblPr>
      <w:tblGrid>
        <w:gridCol w:w="1725"/>
        <w:gridCol w:w="1556"/>
        <w:gridCol w:w="1545"/>
        <w:gridCol w:w="1496"/>
        <w:gridCol w:w="1440"/>
        <w:gridCol w:w="1254"/>
      </w:tblGrid>
      <w:tr w:rsidR="00DD7817" w:rsidRPr="00DD7817" w14:paraId="7FC19CF3" w14:textId="33DDE782" w:rsidTr="00DD7817">
        <w:tc>
          <w:tcPr>
            <w:tcW w:w="1725" w:type="dxa"/>
          </w:tcPr>
          <w:p w14:paraId="329DE20A" w14:textId="6D2825AA" w:rsidR="00DD7817" w:rsidRPr="00DD7817" w:rsidRDefault="00DD7817" w:rsidP="00DD7817">
            <w:pPr>
              <w:rPr>
                <w:b/>
                <w:bCs/>
              </w:rPr>
            </w:pPr>
            <w:r w:rsidRPr="00DD7817">
              <w:rPr>
                <w:b/>
                <w:bCs/>
              </w:rPr>
              <w:tab/>
            </w:r>
            <w:r>
              <w:rPr>
                <w:b/>
                <w:bCs/>
              </w:rPr>
              <w:t xml:space="preserve"> </w:t>
            </w:r>
          </w:p>
        </w:tc>
        <w:tc>
          <w:tcPr>
            <w:tcW w:w="1556" w:type="dxa"/>
          </w:tcPr>
          <w:p w14:paraId="6DF5690E" w14:textId="3839E7F7" w:rsidR="00DD7817" w:rsidRPr="00DD7817" w:rsidRDefault="00DD7817" w:rsidP="00DD7817">
            <w:pPr>
              <w:rPr>
                <w:b/>
                <w:bCs/>
              </w:rPr>
            </w:pPr>
            <w:r w:rsidRPr="00DD7817">
              <w:rPr>
                <w:b/>
                <w:bCs/>
              </w:rPr>
              <w:t>Positive impact</w:t>
            </w:r>
            <w:r w:rsidRPr="00DD7817">
              <w:rPr>
                <w:b/>
                <w:bCs/>
              </w:rPr>
              <w:tab/>
            </w:r>
          </w:p>
        </w:tc>
        <w:tc>
          <w:tcPr>
            <w:tcW w:w="1545" w:type="dxa"/>
          </w:tcPr>
          <w:p w14:paraId="7ACC2C9A" w14:textId="5A1E7680" w:rsidR="00DD7817" w:rsidRPr="00DD7817" w:rsidRDefault="00DD7817" w:rsidP="00DD7817">
            <w:pPr>
              <w:rPr>
                <w:b/>
                <w:bCs/>
              </w:rPr>
            </w:pPr>
            <w:r w:rsidRPr="00DD7817">
              <w:rPr>
                <w:b/>
                <w:bCs/>
              </w:rPr>
              <w:t>Negative impact</w:t>
            </w:r>
          </w:p>
        </w:tc>
        <w:tc>
          <w:tcPr>
            <w:tcW w:w="1496" w:type="dxa"/>
          </w:tcPr>
          <w:p w14:paraId="05D80D28" w14:textId="773D9273" w:rsidR="00DD7817" w:rsidRPr="00DD7817" w:rsidRDefault="00DD7817" w:rsidP="00DD7817">
            <w:pPr>
              <w:rPr>
                <w:b/>
                <w:bCs/>
              </w:rPr>
            </w:pPr>
            <w:r w:rsidRPr="00DD7817">
              <w:rPr>
                <w:b/>
                <w:bCs/>
              </w:rPr>
              <w:t>Positive and negative impact</w:t>
            </w:r>
            <w:r w:rsidRPr="00DD7817">
              <w:rPr>
                <w:b/>
                <w:bCs/>
              </w:rPr>
              <w:tab/>
            </w:r>
          </w:p>
        </w:tc>
        <w:tc>
          <w:tcPr>
            <w:tcW w:w="1440" w:type="dxa"/>
          </w:tcPr>
          <w:p w14:paraId="4C7D58B9" w14:textId="169AE08F" w:rsidR="00DD7817" w:rsidRPr="00DD7817" w:rsidRDefault="00DD7817" w:rsidP="00DD7817">
            <w:pPr>
              <w:rPr>
                <w:b/>
                <w:bCs/>
              </w:rPr>
            </w:pPr>
            <w:r w:rsidRPr="00DD7817">
              <w:rPr>
                <w:b/>
                <w:bCs/>
              </w:rPr>
              <w:t>No impact</w:t>
            </w:r>
          </w:p>
        </w:tc>
        <w:tc>
          <w:tcPr>
            <w:tcW w:w="1254" w:type="dxa"/>
          </w:tcPr>
          <w:p w14:paraId="630739D8" w14:textId="4EA58A31" w:rsidR="00DD7817" w:rsidRPr="00DD7817" w:rsidRDefault="00DD7817" w:rsidP="00DD7817">
            <w:pPr>
              <w:rPr>
                <w:b/>
                <w:bCs/>
              </w:rPr>
            </w:pPr>
            <w:r w:rsidRPr="00DD7817">
              <w:rPr>
                <w:b/>
                <w:bCs/>
              </w:rPr>
              <w:t>Don't know</w:t>
            </w:r>
          </w:p>
        </w:tc>
      </w:tr>
      <w:tr w:rsidR="00DD7817" w:rsidRPr="00DD7817" w14:paraId="5E2EEE4D" w14:textId="27430895" w:rsidTr="00DD7817">
        <w:tc>
          <w:tcPr>
            <w:tcW w:w="1725" w:type="dxa"/>
          </w:tcPr>
          <w:p w14:paraId="15A9ABEF" w14:textId="747FAC13" w:rsidR="00DD7817" w:rsidRPr="00DD7817" w:rsidRDefault="00DD7817" w:rsidP="00DD7817">
            <w:pPr>
              <w:rPr>
                <w:b/>
                <w:bCs/>
              </w:rPr>
            </w:pPr>
            <w:r w:rsidRPr="00DD7817">
              <w:rPr>
                <w:b/>
                <w:bCs/>
              </w:rPr>
              <w:t>Patients and the public</w:t>
            </w:r>
            <w:r w:rsidRPr="00DD7817">
              <w:rPr>
                <w:b/>
                <w:bCs/>
              </w:rPr>
              <w:tab/>
            </w:r>
          </w:p>
        </w:tc>
        <w:tc>
          <w:tcPr>
            <w:tcW w:w="1556" w:type="dxa"/>
          </w:tcPr>
          <w:p w14:paraId="2935BF7A" w14:textId="47643679" w:rsidR="00DD7817" w:rsidRPr="00DD7817" w:rsidRDefault="00DD7817" w:rsidP="00DD7817">
            <w:pPr>
              <w:rPr>
                <w:b/>
                <w:bCs/>
              </w:rPr>
            </w:pPr>
            <w:r>
              <w:rPr>
                <w:b/>
                <w:bCs/>
              </w:rPr>
              <w:t>X</w:t>
            </w:r>
          </w:p>
        </w:tc>
        <w:tc>
          <w:tcPr>
            <w:tcW w:w="1545" w:type="dxa"/>
          </w:tcPr>
          <w:p w14:paraId="0DFF6205" w14:textId="77777777" w:rsidR="00DD7817" w:rsidRPr="00DD7817" w:rsidRDefault="00DD7817" w:rsidP="00DD7817">
            <w:pPr>
              <w:rPr>
                <w:b/>
                <w:bCs/>
              </w:rPr>
            </w:pPr>
          </w:p>
        </w:tc>
        <w:tc>
          <w:tcPr>
            <w:tcW w:w="1496" w:type="dxa"/>
          </w:tcPr>
          <w:p w14:paraId="19602439" w14:textId="77777777" w:rsidR="00DD7817" w:rsidRPr="00DD7817" w:rsidRDefault="00DD7817" w:rsidP="00DD7817">
            <w:pPr>
              <w:rPr>
                <w:b/>
                <w:bCs/>
              </w:rPr>
            </w:pPr>
          </w:p>
        </w:tc>
        <w:tc>
          <w:tcPr>
            <w:tcW w:w="1440" w:type="dxa"/>
          </w:tcPr>
          <w:p w14:paraId="185A6059" w14:textId="77777777" w:rsidR="00DD7817" w:rsidRPr="00DD7817" w:rsidRDefault="00DD7817" w:rsidP="00DD7817">
            <w:pPr>
              <w:rPr>
                <w:b/>
                <w:bCs/>
              </w:rPr>
            </w:pPr>
          </w:p>
        </w:tc>
        <w:tc>
          <w:tcPr>
            <w:tcW w:w="1254" w:type="dxa"/>
          </w:tcPr>
          <w:p w14:paraId="51AD124C" w14:textId="77777777" w:rsidR="00DD7817" w:rsidRPr="00DD7817" w:rsidRDefault="00DD7817" w:rsidP="00DD7817">
            <w:pPr>
              <w:rPr>
                <w:b/>
                <w:bCs/>
              </w:rPr>
            </w:pPr>
          </w:p>
        </w:tc>
      </w:tr>
      <w:tr w:rsidR="00DD7817" w:rsidRPr="00DD7817" w14:paraId="1A8850BB" w14:textId="77A3C319" w:rsidTr="00DD7817">
        <w:tc>
          <w:tcPr>
            <w:tcW w:w="1725" w:type="dxa"/>
          </w:tcPr>
          <w:p w14:paraId="41C82DCE" w14:textId="6180E649" w:rsidR="00DD7817" w:rsidRPr="00DD7817" w:rsidRDefault="00DD7817" w:rsidP="00DD7817">
            <w:pPr>
              <w:rPr>
                <w:b/>
                <w:bCs/>
              </w:rPr>
            </w:pPr>
            <w:r w:rsidRPr="00DD7817">
              <w:rPr>
                <w:b/>
                <w:bCs/>
              </w:rPr>
              <w:t>Pharmacy owners and employers</w:t>
            </w:r>
            <w:r w:rsidRPr="00DD7817">
              <w:rPr>
                <w:b/>
                <w:bCs/>
              </w:rPr>
              <w:tab/>
            </w:r>
          </w:p>
        </w:tc>
        <w:tc>
          <w:tcPr>
            <w:tcW w:w="1556" w:type="dxa"/>
          </w:tcPr>
          <w:p w14:paraId="37921C04" w14:textId="77777777" w:rsidR="00DD7817" w:rsidRPr="00DD7817" w:rsidRDefault="00DD7817" w:rsidP="00DD7817">
            <w:pPr>
              <w:rPr>
                <w:b/>
                <w:bCs/>
              </w:rPr>
            </w:pPr>
          </w:p>
        </w:tc>
        <w:tc>
          <w:tcPr>
            <w:tcW w:w="1545" w:type="dxa"/>
          </w:tcPr>
          <w:p w14:paraId="7B4999AB" w14:textId="77777777" w:rsidR="00DD7817" w:rsidRPr="00DD7817" w:rsidRDefault="00DD7817" w:rsidP="00DD7817">
            <w:pPr>
              <w:rPr>
                <w:b/>
                <w:bCs/>
              </w:rPr>
            </w:pPr>
          </w:p>
        </w:tc>
        <w:tc>
          <w:tcPr>
            <w:tcW w:w="1496" w:type="dxa"/>
          </w:tcPr>
          <w:p w14:paraId="51993B9E" w14:textId="6A8A8F61" w:rsidR="00DD7817" w:rsidRPr="00DD7817" w:rsidRDefault="00DD7817" w:rsidP="00DD7817">
            <w:pPr>
              <w:rPr>
                <w:b/>
                <w:bCs/>
              </w:rPr>
            </w:pPr>
            <w:r>
              <w:rPr>
                <w:b/>
                <w:bCs/>
              </w:rPr>
              <w:t>X</w:t>
            </w:r>
          </w:p>
        </w:tc>
        <w:tc>
          <w:tcPr>
            <w:tcW w:w="1440" w:type="dxa"/>
          </w:tcPr>
          <w:p w14:paraId="7E90F808" w14:textId="77777777" w:rsidR="00DD7817" w:rsidRPr="00DD7817" w:rsidRDefault="00DD7817" w:rsidP="00DD7817">
            <w:pPr>
              <w:rPr>
                <w:b/>
                <w:bCs/>
              </w:rPr>
            </w:pPr>
          </w:p>
        </w:tc>
        <w:tc>
          <w:tcPr>
            <w:tcW w:w="1254" w:type="dxa"/>
          </w:tcPr>
          <w:p w14:paraId="60809FF3" w14:textId="77777777" w:rsidR="00DD7817" w:rsidRPr="00DD7817" w:rsidRDefault="00DD7817" w:rsidP="00DD7817">
            <w:pPr>
              <w:rPr>
                <w:b/>
                <w:bCs/>
              </w:rPr>
            </w:pPr>
          </w:p>
        </w:tc>
      </w:tr>
      <w:tr w:rsidR="00DD7817" w:rsidRPr="00DD7817" w14:paraId="22EF98DB" w14:textId="41850F82" w:rsidTr="00DD7817">
        <w:tc>
          <w:tcPr>
            <w:tcW w:w="1725" w:type="dxa"/>
          </w:tcPr>
          <w:p w14:paraId="41AF1E1F" w14:textId="77777777" w:rsidR="00DD7817" w:rsidRPr="00DD7817" w:rsidRDefault="00DD7817" w:rsidP="00DD7817">
            <w:pPr>
              <w:rPr>
                <w:b/>
                <w:bCs/>
              </w:rPr>
            </w:pPr>
            <w:r w:rsidRPr="00DD7817">
              <w:rPr>
                <w:b/>
                <w:bCs/>
              </w:rPr>
              <w:t>Pharmacy staff</w:t>
            </w:r>
            <w:r w:rsidRPr="00DD7817">
              <w:rPr>
                <w:b/>
                <w:bCs/>
              </w:rPr>
              <w:tab/>
            </w:r>
          </w:p>
        </w:tc>
        <w:tc>
          <w:tcPr>
            <w:tcW w:w="1556" w:type="dxa"/>
          </w:tcPr>
          <w:p w14:paraId="7623713C" w14:textId="77777777" w:rsidR="00DD7817" w:rsidRPr="00DD7817" w:rsidRDefault="00DD7817" w:rsidP="00DD7817">
            <w:pPr>
              <w:rPr>
                <w:b/>
                <w:bCs/>
              </w:rPr>
            </w:pPr>
          </w:p>
        </w:tc>
        <w:tc>
          <w:tcPr>
            <w:tcW w:w="1545" w:type="dxa"/>
          </w:tcPr>
          <w:p w14:paraId="48BC132B" w14:textId="32BD344C" w:rsidR="00DD7817" w:rsidRPr="00DD7817" w:rsidRDefault="00DD7817" w:rsidP="00DD7817">
            <w:pPr>
              <w:rPr>
                <w:b/>
                <w:bCs/>
              </w:rPr>
            </w:pPr>
          </w:p>
        </w:tc>
        <w:tc>
          <w:tcPr>
            <w:tcW w:w="1496" w:type="dxa"/>
          </w:tcPr>
          <w:p w14:paraId="72382293" w14:textId="60AB6AC1" w:rsidR="00DD7817" w:rsidRPr="00DD7817" w:rsidRDefault="00DD7817" w:rsidP="00DD7817">
            <w:pPr>
              <w:rPr>
                <w:b/>
                <w:bCs/>
              </w:rPr>
            </w:pPr>
            <w:r>
              <w:rPr>
                <w:b/>
                <w:bCs/>
              </w:rPr>
              <w:t>X</w:t>
            </w:r>
          </w:p>
        </w:tc>
        <w:tc>
          <w:tcPr>
            <w:tcW w:w="1440" w:type="dxa"/>
          </w:tcPr>
          <w:p w14:paraId="6E9345F4" w14:textId="77777777" w:rsidR="00DD7817" w:rsidRPr="00DD7817" w:rsidRDefault="00DD7817" w:rsidP="00DD7817">
            <w:pPr>
              <w:rPr>
                <w:b/>
                <w:bCs/>
              </w:rPr>
            </w:pPr>
          </w:p>
        </w:tc>
        <w:tc>
          <w:tcPr>
            <w:tcW w:w="1254" w:type="dxa"/>
          </w:tcPr>
          <w:p w14:paraId="28B0CD16" w14:textId="77777777" w:rsidR="00DD7817" w:rsidRPr="00DD7817" w:rsidRDefault="00DD7817" w:rsidP="00DD7817">
            <w:pPr>
              <w:rPr>
                <w:b/>
                <w:bCs/>
              </w:rPr>
            </w:pPr>
          </w:p>
        </w:tc>
      </w:tr>
      <w:tr w:rsidR="00DD7817" w:rsidRPr="00DD7817" w14:paraId="7E638834" w14:textId="21B89D2F" w:rsidTr="00DD7817">
        <w:tc>
          <w:tcPr>
            <w:tcW w:w="1725" w:type="dxa"/>
          </w:tcPr>
          <w:p w14:paraId="5F3D0F6E" w14:textId="1A173B5C" w:rsidR="00DD7817" w:rsidRPr="00DD7817" w:rsidRDefault="00DD7817" w:rsidP="00DD7817">
            <w:pPr>
              <w:rPr>
                <w:b/>
                <w:bCs/>
              </w:rPr>
            </w:pPr>
            <w:r w:rsidRPr="00DD7817">
              <w:rPr>
                <w:b/>
                <w:bCs/>
              </w:rPr>
              <w:t>Other healthcare professionals</w:t>
            </w:r>
            <w:r w:rsidRPr="00DD7817">
              <w:rPr>
                <w:b/>
                <w:bCs/>
              </w:rPr>
              <w:tab/>
            </w:r>
          </w:p>
        </w:tc>
        <w:tc>
          <w:tcPr>
            <w:tcW w:w="1556" w:type="dxa"/>
          </w:tcPr>
          <w:p w14:paraId="4485C700" w14:textId="77777777" w:rsidR="00DD7817" w:rsidRPr="00DD7817" w:rsidRDefault="00DD7817" w:rsidP="00DD7817">
            <w:pPr>
              <w:rPr>
                <w:b/>
                <w:bCs/>
              </w:rPr>
            </w:pPr>
          </w:p>
        </w:tc>
        <w:tc>
          <w:tcPr>
            <w:tcW w:w="1545" w:type="dxa"/>
          </w:tcPr>
          <w:p w14:paraId="5B30353F" w14:textId="77777777" w:rsidR="00DD7817" w:rsidRPr="00DD7817" w:rsidRDefault="00DD7817" w:rsidP="00DD7817">
            <w:pPr>
              <w:rPr>
                <w:b/>
                <w:bCs/>
              </w:rPr>
            </w:pPr>
          </w:p>
        </w:tc>
        <w:tc>
          <w:tcPr>
            <w:tcW w:w="1496" w:type="dxa"/>
          </w:tcPr>
          <w:p w14:paraId="6377A174" w14:textId="2B2B6B3F" w:rsidR="00DD7817" w:rsidRPr="00DD7817" w:rsidRDefault="00DD7817" w:rsidP="00DD7817">
            <w:pPr>
              <w:rPr>
                <w:b/>
                <w:bCs/>
              </w:rPr>
            </w:pPr>
            <w:r>
              <w:rPr>
                <w:b/>
                <w:bCs/>
              </w:rPr>
              <w:t>X</w:t>
            </w:r>
          </w:p>
        </w:tc>
        <w:tc>
          <w:tcPr>
            <w:tcW w:w="1440" w:type="dxa"/>
          </w:tcPr>
          <w:p w14:paraId="7F79CABC" w14:textId="77777777" w:rsidR="00DD7817" w:rsidRPr="00DD7817" w:rsidRDefault="00DD7817" w:rsidP="00DD7817">
            <w:pPr>
              <w:rPr>
                <w:b/>
                <w:bCs/>
              </w:rPr>
            </w:pPr>
          </w:p>
        </w:tc>
        <w:tc>
          <w:tcPr>
            <w:tcW w:w="1254" w:type="dxa"/>
          </w:tcPr>
          <w:p w14:paraId="4272E5E5" w14:textId="77777777" w:rsidR="00DD7817" w:rsidRPr="00DD7817" w:rsidRDefault="00DD7817" w:rsidP="00DD7817">
            <w:pPr>
              <w:rPr>
                <w:b/>
                <w:bCs/>
              </w:rPr>
            </w:pPr>
          </w:p>
        </w:tc>
      </w:tr>
    </w:tbl>
    <w:p w14:paraId="0AE81026" w14:textId="77777777" w:rsidR="00730AA5" w:rsidRPr="00730AA5" w:rsidRDefault="00730AA5" w:rsidP="00730AA5">
      <w:pPr>
        <w:rPr>
          <w:b/>
          <w:bCs/>
        </w:rPr>
      </w:pPr>
      <w:r w:rsidRPr="00730AA5">
        <w:rPr>
          <w:b/>
          <w:bCs/>
        </w:rPr>
        <w:t xml:space="preserve"> </w:t>
      </w:r>
    </w:p>
    <w:p w14:paraId="3D1360B7" w14:textId="03C0482B" w:rsidR="00730AA5" w:rsidRDefault="00730AA5" w:rsidP="00730AA5">
      <w:pPr>
        <w:rPr>
          <w:b/>
          <w:bCs/>
        </w:rPr>
      </w:pPr>
      <w:r w:rsidRPr="00730AA5">
        <w:rPr>
          <w:b/>
          <w:bCs/>
        </w:rPr>
        <w:t>Please describe the impact you think our proposals will have on the groups identified in questions 3 and 4 above.</w:t>
      </w:r>
    </w:p>
    <w:p w14:paraId="651CC6DA" w14:textId="701D2E72" w:rsidR="00730AA5" w:rsidRPr="001B4DB9" w:rsidRDefault="00DD7817" w:rsidP="00730AA5">
      <w:r w:rsidRPr="001B4DB9">
        <w:lastRenderedPageBreak/>
        <w:t>Age: Older adults may face challenges with online services due to technological barriers, having the opportunity for a two-way dialogue will be important to support this patient group.</w:t>
      </w:r>
      <w:r w:rsidR="00FD178C">
        <w:t xml:space="preserve"> O</w:t>
      </w:r>
      <w:r w:rsidR="00FD178C" w:rsidRPr="00FD178C">
        <w:t>lder adults may</w:t>
      </w:r>
      <w:r w:rsidR="00E641CD">
        <w:t xml:space="preserve"> also</w:t>
      </w:r>
      <w:r w:rsidR="00FD178C" w:rsidRPr="00FD178C">
        <w:t xml:space="preserve"> have multiple comorbidities and complex medication regimens, which necessitate more frequent communication with healthcare providers.</w:t>
      </w:r>
    </w:p>
    <w:p w14:paraId="39D406D5" w14:textId="57474489" w:rsidR="00E641CD" w:rsidRPr="00E641CD" w:rsidRDefault="00DD7817" w:rsidP="00E641CD">
      <w:r w:rsidRPr="001B4DB9">
        <w:t>Disability:</w:t>
      </w:r>
      <w:r w:rsidRPr="001B4DB9">
        <w:rPr>
          <w:rFonts w:ascii="Roboto" w:hAnsi="Roboto"/>
          <w:color w:val="111111"/>
          <w:shd w:val="clear" w:color="auto" w:fill="F7F7F7"/>
        </w:rPr>
        <w:t xml:space="preserve"> </w:t>
      </w:r>
      <w:r w:rsidRPr="001B4DB9">
        <w:t>Pharmacies must ensure that their online platforms are user-friendly for individuals with disabilities, including those with visual or hearing impairments. In doing so, this may improve access to care for patients who struggle to travel to bricks and mortar pharmacies.</w:t>
      </w:r>
      <w:r w:rsidR="00E641CD" w:rsidRPr="00E641CD">
        <w:rPr>
          <w:rFonts w:ascii="Segoe UI" w:eastAsia="Times New Roman" w:hAnsi="Segoe UI" w:cs="Segoe UI"/>
          <w:kern w:val="0"/>
          <w:sz w:val="18"/>
          <w:szCs w:val="18"/>
          <w:lang w:eastAsia="en-GB"/>
          <w14:ligatures w14:val="none"/>
        </w:rPr>
        <w:t xml:space="preserve"> </w:t>
      </w:r>
    </w:p>
    <w:p w14:paraId="1BF25B3F" w14:textId="1616F877" w:rsidR="00DD7817" w:rsidRPr="001B4DB9" w:rsidRDefault="00DD7817" w:rsidP="00730AA5"/>
    <w:p w14:paraId="2223967E" w14:textId="3945E43B" w:rsidR="00DD7817" w:rsidRPr="001B4DB9" w:rsidRDefault="00DD7817" w:rsidP="00730AA5">
      <w:r w:rsidRPr="001B4DB9">
        <w:t>Gender reassignment: Improvements in confidentiality and privacy will support thi</w:t>
      </w:r>
      <w:r w:rsidR="00D81B87" w:rsidRPr="001B4DB9">
        <w:t>s</w:t>
      </w:r>
      <w:r w:rsidRPr="001B4DB9">
        <w:t xml:space="preserve"> </w:t>
      </w:r>
      <w:r w:rsidR="007E3D59" w:rsidRPr="001B4DB9">
        <w:t>group</w:t>
      </w:r>
      <w:r w:rsidR="007E3D59">
        <w:t xml:space="preserve">, </w:t>
      </w:r>
      <w:r w:rsidR="007E3D59" w:rsidRPr="00E641CD">
        <w:t>safeguards</w:t>
      </w:r>
      <w:r w:rsidR="00E641CD" w:rsidRPr="00E641CD">
        <w:t xml:space="preserve"> around identity verification</w:t>
      </w:r>
      <w:r w:rsidR="00E641CD">
        <w:t xml:space="preserve"> and</w:t>
      </w:r>
      <w:r w:rsidR="00E641CD" w:rsidRPr="00E641CD">
        <w:t xml:space="preserve"> ensuring that patients' gender identity is handled sensitively during interactions</w:t>
      </w:r>
      <w:r w:rsidR="00E641CD">
        <w:t xml:space="preserve"> must be adhered to</w:t>
      </w:r>
      <w:r w:rsidR="00E641CD" w:rsidRPr="00E641CD">
        <w:t>.</w:t>
      </w:r>
    </w:p>
    <w:p w14:paraId="3A7DDF16" w14:textId="2D5397B8" w:rsidR="00DD7817" w:rsidRPr="001B4DB9" w:rsidRDefault="00DD7817" w:rsidP="00730AA5">
      <w:r w:rsidRPr="001B4DB9">
        <w:t xml:space="preserve">Pregnancy and maternity: </w:t>
      </w:r>
      <w:r w:rsidR="00D81B87" w:rsidRPr="001B4DB9">
        <w:t>Informed consent and appropriate monitoring are important for this patient group. Safeguards in relation to identity checks, verification of patient history and onward communication of interventions are important for this patient group</w:t>
      </w:r>
      <w:r w:rsidR="00E641CD">
        <w:t>, ensuring</w:t>
      </w:r>
      <w:r w:rsidR="00E641CD" w:rsidRPr="00E641CD">
        <w:t xml:space="preserve"> continuity of care and coordination with primary care providers, such as midwives or obstetricians</w:t>
      </w:r>
      <w:r w:rsidR="00E641CD">
        <w:t>.</w:t>
      </w:r>
    </w:p>
    <w:p w14:paraId="6ADFCEF5" w14:textId="3CAC28BE" w:rsidR="00D81B87" w:rsidRPr="001B4DB9" w:rsidRDefault="00D81B87" w:rsidP="00730AA5">
      <w:r w:rsidRPr="001B4DB9">
        <w:t>Though not expressly specified the standards and guidance promotes a non-discriminatory approach to improve access to pharmacy services.</w:t>
      </w:r>
    </w:p>
    <w:p w14:paraId="7EF95B93" w14:textId="57FD3EF1" w:rsidR="00B722D0" w:rsidRPr="001B4DB9" w:rsidRDefault="00D81B87">
      <w:r w:rsidRPr="001B4DB9">
        <w:t>The guidance supports improved access to pharmacy services for members of the public with additional safeguards to promote high quality care and ensure patient safety.</w:t>
      </w:r>
    </w:p>
    <w:p w14:paraId="10D1C3FE" w14:textId="486A5EAD" w:rsidR="00D81B87" w:rsidRPr="001B4DB9" w:rsidRDefault="00D81B87">
      <w:r w:rsidRPr="001B4DB9">
        <w:t>Pharmacy owners may find a positive and negative impact in relation to the operational costs of compliance, offset by reduction in risk, improved safety and patient satisfaction.</w:t>
      </w:r>
    </w:p>
    <w:p w14:paraId="417EEB99" w14:textId="6E990824" w:rsidR="00D81B87" w:rsidRPr="001B4DB9" w:rsidRDefault="00D81B87">
      <w:r w:rsidRPr="001B4DB9">
        <w:t>Pharmacy staff may feel that there is an additional burden in relation to meeting the standards, however, this should be offset by receiving additional training, clarification of roles and responsibilities which will contribute to a better staff experience.</w:t>
      </w:r>
    </w:p>
    <w:p w14:paraId="7047695A" w14:textId="09AF991D" w:rsidR="00D81B87" w:rsidRDefault="00D81B87">
      <w:r w:rsidRPr="001B4DB9">
        <w:t>Other healthcare professionals will receive a higher volume of communication from online pharmacies detailing clinical interventions, prescriptions and supplies which may have an administrative cost. This will be offset by improved communication, improved patient records and the potential for improved collaboration.</w:t>
      </w:r>
    </w:p>
    <w:sectPr w:rsidR="00D81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44EED"/>
    <w:multiLevelType w:val="hybridMultilevel"/>
    <w:tmpl w:val="43F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85DA8"/>
    <w:multiLevelType w:val="multilevel"/>
    <w:tmpl w:val="62C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A64EC"/>
    <w:multiLevelType w:val="hybridMultilevel"/>
    <w:tmpl w:val="1BB8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769079">
    <w:abstractNumId w:val="1"/>
  </w:num>
  <w:num w:numId="2" w16cid:durableId="71591624">
    <w:abstractNumId w:val="2"/>
  </w:num>
  <w:num w:numId="3" w16cid:durableId="169826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5"/>
    <w:rsid w:val="000863DB"/>
    <w:rsid w:val="00170AA0"/>
    <w:rsid w:val="001B4DB9"/>
    <w:rsid w:val="001E7E15"/>
    <w:rsid w:val="00230411"/>
    <w:rsid w:val="002A144B"/>
    <w:rsid w:val="002C6A02"/>
    <w:rsid w:val="002D312F"/>
    <w:rsid w:val="00346399"/>
    <w:rsid w:val="003D5906"/>
    <w:rsid w:val="00406DC6"/>
    <w:rsid w:val="004117FA"/>
    <w:rsid w:val="004570AE"/>
    <w:rsid w:val="00474194"/>
    <w:rsid w:val="00474B47"/>
    <w:rsid w:val="004911F2"/>
    <w:rsid w:val="00520E35"/>
    <w:rsid w:val="0056310F"/>
    <w:rsid w:val="005C543A"/>
    <w:rsid w:val="005D39B5"/>
    <w:rsid w:val="006027C1"/>
    <w:rsid w:val="00631A1B"/>
    <w:rsid w:val="006B708E"/>
    <w:rsid w:val="006E5479"/>
    <w:rsid w:val="00730AA5"/>
    <w:rsid w:val="0075145E"/>
    <w:rsid w:val="007862C5"/>
    <w:rsid w:val="007A6DF7"/>
    <w:rsid w:val="007B7E3F"/>
    <w:rsid w:val="007E3D59"/>
    <w:rsid w:val="008F2C9C"/>
    <w:rsid w:val="0095113D"/>
    <w:rsid w:val="009A318C"/>
    <w:rsid w:val="00A83CDC"/>
    <w:rsid w:val="00B03AA3"/>
    <w:rsid w:val="00B722D0"/>
    <w:rsid w:val="00CC53A0"/>
    <w:rsid w:val="00D81B87"/>
    <w:rsid w:val="00DA7D78"/>
    <w:rsid w:val="00DD7817"/>
    <w:rsid w:val="00E641CD"/>
    <w:rsid w:val="00E712E7"/>
    <w:rsid w:val="00EE452D"/>
    <w:rsid w:val="00EF6431"/>
    <w:rsid w:val="00F963F5"/>
    <w:rsid w:val="00FD178C"/>
    <w:rsid w:val="00FF2D55"/>
    <w:rsid w:val="00FF77B7"/>
    <w:rsid w:val="0E85E1A9"/>
    <w:rsid w:val="1ABF3637"/>
    <w:rsid w:val="2099F2E3"/>
    <w:rsid w:val="367626E1"/>
    <w:rsid w:val="37679F4D"/>
    <w:rsid w:val="3A274EB4"/>
    <w:rsid w:val="575F8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58B6"/>
  <w15:chartTrackingRefBased/>
  <w15:docId w15:val="{34F26BB2-E6B0-41AB-977E-2977FBBB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A5"/>
    <w:rPr>
      <w:rFonts w:eastAsiaTheme="majorEastAsia" w:cstheme="majorBidi"/>
      <w:color w:val="272727" w:themeColor="text1" w:themeTint="D8"/>
    </w:rPr>
  </w:style>
  <w:style w:type="paragraph" w:styleId="Title">
    <w:name w:val="Title"/>
    <w:basedOn w:val="Normal"/>
    <w:next w:val="Normal"/>
    <w:link w:val="TitleChar"/>
    <w:uiPriority w:val="10"/>
    <w:qFormat/>
    <w:rsid w:val="00730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A5"/>
    <w:pPr>
      <w:spacing w:before="160"/>
      <w:jc w:val="center"/>
    </w:pPr>
    <w:rPr>
      <w:i/>
      <w:iCs/>
      <w:color w:val="404040" w:themeColor="text1" w:themeTint="BF"/>
    </w:rPr>
  </w:style>
  <w:style w:type="character" w:customStyle="1" w:styleId="QuoteChar">
    <w:name w:val="Quote Char"/>
    <w:basedOn w:val="DefaultParagraphFont"/>
    <w:link w:val="Quote"/>
    <w:uiPriority w:val="29"/>
    <w:rsid w:val="00730AA5"/>
    <w:rPr>
      <w:i/>
      <w:iCs/>
      <w:color w:val="404040" w:themeColor="text1" w:themeTint="BF"/>
    </w:rPr>
  </w:style>
  <w:style w:type="paragraph" w:styleId="ListParagraph">
    <w:name w:val="List Paragraph"/>
    <w:basedOn w:val="Normal"/>
    <w:uiPriority w:val="34"/>
    <w:qFormat/>
    <w:rsid w:val="00730AA5"/>
    <w:pPr>
      <w:ind w:left="720"/>
      <w:contextualSpacing/>
    </w:pPr>
  </w:style>
  <w:style w:type="character" w:styleId="IntenseEmphasis">
    <w:name w:val="Intense Emphasis"/>
    <w:basedOn w:val="DefaultParagraphFont"/>
    <w:uiPriority w:val="21"/>
    <w:qFormat/>
    <w:rsid w:val="00730AA5"/>
    <w:rPr>
      <w:i/>
      <w:iCs/>
      <w:color w:val="0F4761" w:themeColor="accent1" w:themeShade="BF"/>
    </w:rPr>
  </w:style>
  <w:style w:type="paragraph" w:styleId="IntenseQuote">
    <w:name w:val="Intense Quote"/>
    <w:basedOn w:val="Normal"/>
    <w:next w:val="Normal"/>
    <w:link w:val="IntenseQuoteChar"/>
    <w:uiPriority w:val="30"/>
    <w:qFormat/>
    <w:rsid w:val="00730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A5"/>
    <w:rPr>
      <w:i/>
      <w:iCs/>
      <w:color w:val="0F4761" w:themeColor="accent1" w:themeShade="BF"/>
    </w:rPr>
  </w:style>
  <w:style w:type="character" w:styleId="IntenseReference">
    <w:name w:val="Intense Reference"/>
    <w:basedOn w:val="DefaultParagraphFont"/>
    <w:uiPriority w:val="32"/>
    <w:qFormat/>
    <w:rsid w:val="00730AA5"/>
    <w:rPr>
      <w:b/>
      <w:bCs/>
      <w:smallCaps/>
      <w:color w:val="0F4761" w:themeColor="accent1" w:themeShade="BF"/>
      <w:spacing w:val="5"/>
    </w:rPr>
  </w:style>
  <w:style w:type="table" w:styleId="TableGrid">
    <w:name w:val="Table Grid"/>
    <w:basedOn w:val="TableNormal"/>
    <w:uiPriority w:val="39"/>
    <w:rsid w:val="0056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43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5792">
      <w:bodyDiv w:val="1"/>
      <w:marLeft w:val="0"/>
      <w:marRight w:val="0"/>
      <w:marTop w:val="0"/>
      <w:marBottom w:val="0"/>
      <w:divBdr>
        <w:top w:val="none" w:sz="0" w:space="0" w:color="auto"/>
        <w:left w:val="none" w:sz="0" w:space="0" w:color="auto"/>
        <w:bottom w:val="none" w:sz="0" w:space="0" w:color="auto"/>
        <w:right w:val="none" w:sz="0" w:space="0" w:color="auto"/>
      </w:divBdr>
    </w:div>
    <w:div w:id="139155181">
      <w:bodyDiv w:val="1"/>
      <w:marLeft w:val="0"/>
      <w:marRight w:val="0"/>
      <w:marTop w:val="0"/>
      <w:marBottom w:val="0"/>
      <w:divBdr>
        <w:top w:val="none" w:sz="0" w:space="0" w:color="auto"/>
        <w:left w:val="none" w:sz="0" w:space="0" w:color="auto"/>
        <w:bottom w:val="none" w:sz="0" w:space="0" w:color="auto"/>
        <w:right w:val="none" w:sz="0" w:space="0" w:color="auto"/>
      </w:divBdr>
    </w:div>
    <w:div w:id="154106038">
      <w:bodyDiv w:val="1"/>
      <w:marLeft w:val="0"/>
      <w:marRight w:val="0"/>
      <w:marTop w:val="0"/>
      <w:marBottom w:val="0"/>
      <w:divBdr>
        <w:top w:val="none" w:sz="0" w:space="0" w:color="auto"/>
        <w:left w:val="none" w:sz="0" w:space="0" w:color="auto"/>
        <w:bottom w:val="none" w:sz="0" w:space="0" w:color="auto"/>
        <w:right w:val="none" w:sz="0" w:space="0" w:color="auto"/>
      </w:divBdr>
    </w:div>
    <w:div w:id="171770895">
      <w:bodyDiv w:val="1"/>
      <w:marLeft w:val="0"/>
      <w:marRight w:val="0"/>
      <w:marTop w:val="0"/>
      <w:marBottom w:val="0"/>
      <w:divBdr>
        <w:top w:val="none" w:sz="0" w:space="0" w:color="auto"/>
        <w:left w:val="none" w:sz="0" w:space="0" w:color="auto"/>
        <w:bottom w:val="none" w:sz="0" w:space="0" w:color="auto"/>
        <w:right w:val="none" w:sz="0" w:space="0" w:color="auto"/>
      </w:divBdr>
    </w:div>
    <w:div w:id="205265512">
      <w:bodyDiv w:val="1"/>
      <w:marLeft w:val="0"/>
      <w:marRight w:val="0"/>
      <w:marTop w:val="0"/>
      <w:marBottom w:val="0"/>
      <w:divBdr>
        <w:top w:val="none" w:sz="0" w:space="0" w:color="auto"/>
        <w:left w:val="none" w:sz="0" w:space="0" w:color="auto"/>
        <w:bottom w:val="none" w:sz="0" w:space="0" w:color="auto"/>
        <w:right w:val="none" w:sz="0" w:space="0" w:color="auto"/>
      </w:divBdr>
    </w:div>
    <w:div w:id="253438034">
      <w:bodyDiv w:val="1"/>
      <w:marLeft w:val="0"/>
      <w:marRight w:val="0"/>
      <w:marTop w:val="0"/>
      <w:marBottom w:val="0"/>
      <w:divBdr>
        <w:top w:val="none" w:sz="0" w:space="0" w:color="auto"/>
        <w:left w:val="none" w:sz="0" w:space="0" w:color="auto"/>
        <w:bottom w:val="none" w:sz="0" w:space="0" w:color="auto"/>
        <w:right w:val="none" w:sz="0" w:space="0" w:color="auto"/>
      </w:divBdr>
    </w:div>
    <w:div w:id="270285764">
      <w:bodyDiv w:val="1"/>
      <w:marLeft w:val="0"/>
      <w:marRight w:val="0"/>
      <w:marTop w:val="0"/>
      <w:marBottom w:val="0"/>
      <w:divBdr>
        <w:top w:val="none" w:sz="0" w:space="0" w:color="auto"/>
        <w:left w:val="none" w:sz="0" w:space="0" w:color="auto"/>
        <w:bottom w:val="none" w:sz="0" w:space="0" w:color="auto"/>
        <w:right w:val="none" w:sz="0" w:space="0" w:color="auto"/>
      </w:divBdr>
    </w:div>
    <w:div w:id="322927611">
      <w:bodyDiv w:val="1"/>
      <w:marLeft w:val="0"/>
      <w:marRight w:val="0"/>
      <w:marTop w:val="0"/>
      <w:marBottom w:val="0"/>
      <w:divBdr>
        <w:top w:val="none" w:sz="0" w:space="0" w:color="auto"/>
        <w:left w:val="none" w:sz="0" w:space="0" w:color="auto"/>
        <w:bottom w:val="none" w:sz="0" w:space="0" w:color="auto"/>
        <w:right w:val="none" w:sz="0" w:space="0" w:color="auto"/>
      </w:divBdr>
    </w:div>
    <w:div w:id="401371412">
      <w:bodyDiv w:val="1"/>
      <w:marLeft w:val="0"/>
      <w:marRight w:val="0"/>
      <w:marTop w:val="0"/>
      <w:marBottom w:val="0"/>
      <w:divBdr>
        <w:top w:val="none" w:sz="0" w:space="0" w:color="auto"/>
        <w:left w:val="none" w:sz="0" w:space="0" w:color="auto"/>
        <w:bottom w:val="none" w:sz="0" w:space="0" w:color="auto"/>
        <w:right w:val="none" w:sz="0" w:space="0" w:color="auto"/>
      </w:divBdr>
    </w:div>
    <w:div w:id="490415721">
      <w:bodyDiv w:val="1"/>
      <w:marLeft w:val="0"/>
      <w:marRight w:val="0"/>
      <w:marTop w:val="0"/>
      <w:marBottom w:val="0"/>
      <w:divBdr>
        <w:top w:val="none" w:sz="0" w:space="0" w:color="auto"/>
        <w:left w:val="none" w:sz="0" w:space="0" w:color="auto"/>
        <w:bottom w:val="none" w:sz="0" w:space="0" w:color="auto"/>
        <w:right w:val="none" w:sz="0" w:space="0" w:color="auto"/>
      </w:divBdr>
    </w:div>
    <w:div w:id="748427236">
      <w:bodyDiv w:val="1"/>
      <w:marLeft w:val="0"/>
      <w:marRight w:val="0"/>
      <w:marTop w:val="0"/>
      <w:marBottom w:val="0"/>
      <w:divBdr>
        <w:top w:val="none" w:sz="0" w:space="0" w:color="auto"/>
        <w:left w:val="none" w:sz="0" w:space="0" w:color="auto"/>
        <w:bottom w:val="none" w:sz="0" w:space="0" w:color="auto"/>
        <w:right w:val="none" w:sz="0" w:space="0" w:color="auto"/>
      </w:divBdr>
    </w:div>
    <w:div w:id="760831389">
      <w:bodyDiv w:val="1"/>
      <w:marLeft w:val="0"/>
      <w:marRight w:val="0"/>
      <w:marTop w:val="0"/>
      <w:marBottom w:val="0"/>
      <w:divBdr>
        <w:top w:val="none" w:sz="0" w:space="0" w:color="auto"/>
        <w:left w:val="none" w:sz="0" w:space="0" w:color="auto"/>
        <w:bottom w:val="none" w:sz="0" w:space="0" w:color="auto"/>
        <w:right w:val="none" w:sz="0" w:space="0" w:color="auto"/>
      </w:divBdr>
    </w:div>
    <w:div w:id="838807014">
      <w:bodyDiv w:val="1"/>
      <w:marLeft w:val="0"/>
      <w:marRight w:val="0"/>
      <w:marTop w:val="0"/>
      <w:marBottom w:val="0"/>
      <w:divBdr>
        <w:top w:val="none" w:sz="0" w:space="0" w:color="auto"/>
        <w:left w:val="none" w:sz="0" w:space="0" w:color="auto"/>
        <w:bottom w:val="none" w:sz="0" w:space="0" w:color="auto"/>
        <w:right w:val="none" w:sz="0" w:space="0" w:color="auto"/>
      </w:divBdr>
    </w:div>
    <w:div w:id="876429214">
      <w:bodyDiv w:val="1"/>
      <w:marLeft w:val="0"/>
      <w:marRight w:val="0"/>
      <w:marTop w:val="0"/>
      <w:marBottom w:val="0"/>
      <w:divBdr>
        <w:top w:val="none" w:sz="0" w:space="0" w:color="auto"/>
        <w:left w:val="none" w:sz="0" w:space="0" w:color="auto"/>
        <w:bottom w:val="none" w:sz="0" w:space="0" w:color="auto"/>
        <w:right w:val="none" w:sz="0" w:space="0" w:color="auto"/>
      </w:divBdr>
    </w:div>
    <w:div w:id="994912032">
      <w:bodyDiv w:val="1"/>
      <w:marLeft w:val="0"/>
      <w:marRight w:val="0"/>
      <w:marTop w:val="0"/>
      <w:marBottom w:val="0"/>
      <w:divBdr>
        <w:top w:val="none" w:sz="0" w:space="0" w:color="auto"/>
        <w:left w:val="none" w:sz="0" w:space="0" w:color="auto"/>
        <w:bottom w:val="none" w:sz="0" w:space="0" w:color="auto"/>
        <w:right w:val="none" w:sz="0" w:space="0" w:color="auto"/>
      </w:divBdr>
    </w:div>
    <w:div w:id="1003321356">
      <w:bodyDiv w:val="1"/>
      <w:marLeft w:val="0"/>
      <w:marRight w:val="0"/>
      <w:marTop w:val="0"/>
      <w:marBottom w:val="0"/>
      <w:divBdr>
        <w:top w:val="none" w:sz="0" w:space="0" w:color="auto"/>
        <w:left w:val="none" w:sz="0" w:space="0" w:color="auto"/>
        <w:bottom w:val="none" w:sz="0" w:space="0" w:color="auto"/>
        <w:right w:val="none" w:sz="0" w:space="0" w:color="auto"/>
      </w:divBdr>
    </w:div>
    <w:div w:id="1033270014">
      <w:bodyDiv w:val="1"/>
      <w:marLeft w:val="0"/>
      <w:marRight w:val="0"/>
      <w:marTop w:val="0"/>
      <w:marBottom w:val="0"/>
      <w:divBdr>
        <w:top w:val="none" w:sz="0" w:space="0" w:color="auto"/>
        <w:left w:val="none" w:sz="0" w:space="0" w:color="auto"/>
        <w:bottom w:val="none" w:sz="0" w:space="0" w:color="auto"/>
        <w:right w:val="none" w:sz="0" w:space="0" w:color="auto"/>
      </w:divBdr>
    </w:div>
    <w:div w:id="1326668242">
      <w:bodyDiv w:val="1"/>
      <w:marLeft w:val="0"/>
      <w:marRight w:val="0"/>
      <w:marTop w:val="0"/>
      <w:marBottom w:val="0"/>
      <w:divBdr>
        <w:top w:val="none" w:sz="0" w:space="0" w:color="auto"/>
        <w:left w:val="none" w:sz="0" w:space="0" w:color="auto"/>
        <w:bottom w:val="none" w:sz="0" w:space="0" w:color="auto"/>
        <w:right w:val="none" w:sz="0" w:space="0" w:color="auto"/>
      </w:divBdr>
    </w:div>
    <w:div w:id="1339114906">
      <w:bodyDiv w:val="1"/>
      <w:marLeft w:val="0"/>
      <w:marRight w:val="0"/>
      <w:marTop w:val="0"/>
      <w:marBottom w:val="0"/>
      <w:divBdr>
        <w:top w:val="none" w:sz="0" w:space="0" w:color="auto"/>
        <w:left w:val="none" w:sz="0" w:space="0" w:color="auto"/>
        <w:bottom w:val="none" w:sz="0" w:space="0" w:color="auto"/>
        <w:right w:val="none" w:sz="0" w:space="0" w:color="auto"/>
      </w:divBdr>
    </w:div>
    <w:div w:id="1376540054">
      <w:bodyDiv w:val="1"/>
      <w:marLeft w:val="0"/>
      <w:marRight w:val="0"/>
      <w:marTop w:val="0"/>
      <w:marBottom w:val="0"/>
      <w:divBdr>
        <w:top w:val="none" w:sz="0" w:space="0" w:color="auto"/>
        <w:left w:val="none" w:sz="0" w:space="0" w:color="auto"/>
        <w:bottom w:val="none" w:sz="0" w:space="0" w:color="auto"/>
        <w:right w:val="none" w:sz="0" w:space="0" w:color="auto"/>
      </w:divBdr>
      <w:divsChild>
        <w:div w:id="390928280">
          <w:marLeft w:val="0"/>
          <w:marRight w:val="0"/>
          <w:marTop w:val="0"/>
          <w:marBottom w:val="0"/>
          <w:divBdr>
            <w:top w:val="none" w:sz="0" w:space="0" w:color="auto"/>
            <w:left w:val="none" w:sz="0" w:space="0" w:color="auto"/>
            <w:bottom w:val="none" w:sz="0" w:space="0" w:color="auto"/>
            <w:right w:val="none" w:sz="0" w:space="0" w:color="auto"/>
          </w:divBdr>
          <w:divsChild>
            <w:div w:id="1898664973">
              <w:marLeft w:val="0"/>
              <w:marRight w:val="0"/>
              <w:marTop w:val="0"/>
              <w:marBottom w:val="0"/>
              <w:divBdr>
                <w:top w:val="none" w:sz="0" w:space="0" w:color="auto"/>
                <w:left w:val="none" w:sz="0" w:space="0" w:color="auto"/>
                <w:bottom w:val="none" w:sz="0" w:space="0" w:color="auto"/>
                <w:right w:val="none" w:sz="0" w:space="0" w:color="auto"/>
              </w:divBdr>
              <w:divsChild>
                <w:div w:id="1008020863">
                  <w:marLeft w:val="0"/>
                  <w:marRight w:val="0"/>
                  <w:marTop w:val="375"/>
                  <w:marBottom w:val="375"/>
                  <w:divBdr>
                    <w:top w:val="single" w:sz="2" w:space="0" w:color="000000"/>
                    <w:left w:val="single" w:sz="2" w:space="0" w:color="000000"/>
                    <w:bottom w:val="single" w:sz="2" w:space="0" w:color="000000"/>
                    <w:right w:val="single" w:sz="2" w:space="0" w:color="000000"/>
                  </w:divBdr>
                  <w:divsChild>
                    <w:div w:id="1591886487">
                      <w:marLeft w:val="0"/>
                      <w:marRight w:val="0"/>
                      <w:marTop w:val="0"/>
                      <w:marBottom w:val="0"/>
                      <w:divBdr>
                        <w:top w:val="none" w:sz="0" w:space="0" w:color="auto"/>
                        <w:left w:val="none" w:sz="0" w:space="0" w:color="auto"/>
                        <w:bottom w:val="none" w:sz="0" w:space="0" w:color="auto"/>
                        <w:right w:val="none" w:sz="0" w:space="0" w:color="auto"/>
                      </w:divBdr>
                      <w:divsChild>
                        <w:div w:id="763301695">
                          <w:marLeft w:val="0"/>
                          <w:marRight w:val="0"/>
                          <w:marTop w:val="0"/>
                          <w:marBottom w:val="0"/>
                          <w:divBdr>
                            <w:top w:val="none" w:sz="0" w:space="0" w:color="auto"/>
                            <w:left w:val="none" w:sz="0" w:space="0" w:color="auto"/>
                            <w:bottom w:val="none" w:sz="0" w:space="0" w:color="auto"/>
                            <w:right w:val="none" w:sz="0" w:space="0" w:color="auto"/>
                          </w:divBdr>
                          <w:divsChild>
                            <w:div w:id="13655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55398">
          <w:marLeft w:val="0"/>
          <w:marRight w:val="0"/>
          <w:marTop w:val="0"/>
          <w:marBottom w:val="0"/>
          <w:divBdr>
            <w:top w:val="none" w:sz="0" w:space="0" w:color="auto"/>
            <w:left w:val="none" w:sz="0" w:space="0" w:color="auto"/>
            <w:bottom w:val="none" w:sz="0" w:space="0" w:color="auto"/>
            <w:right w:val="none" w:sz="0" w:space="0" w:color="auto"/>
          </w:divBdr>
          <w:divsChild>
            <w:div w:id="1040133256">
              <w:marLeft w:val="0"/>
              <w:marRight w:val="0"/>
              <w:marTop w:val="0"/>
              <w:marBottom w:val="0"/>
              <w:divBdr>
                <w:top w:val="none" w:sz="0" w:space="0" w:color="auto"/>
                <w:left w:val="none" w:sz="0" w:space="0" w:color="auto"/>
                <w:bottom w:val="none" w:sz="0" w:space="0" w:color="auto"/>
                <w:right w:val="none" w:sz="0" w:space="0" w:color="auto"/>
              </w:divBdr>
            </w:div>
            <w:div w:id="632490643">
              <w:marLeft w:val="0"/>
              <w:marRight w:val="0"/>
              <w:marTop w:val="0"/>
              <w:marBottom w:val="0"/>
              <w:divBdr>
                <w:top w:val="none" w:sz="0" w:space="0" w:color="auto"/>
                <w:left w:val="none" w:sz="0" w:space="0" w:color="auto"/>
                <w:bottom w:val="none" w:sz="0" w:space="0" w:color="auto"/>
                <w:right w:val="none" w:sz="0" w:space="0" w:color="auto"/>
              </w:divBdr>
              <w:divsChild>
                <w:div w:id="468472215">
                  <w:marLeft w:val="0"/>
                  <w:marRight w:val="0"/>
                  <w:marTop w:val="375"/>
                  <w:marBottom w:val="375"/>
                  <w:divBdr>
                    <w:top w:val="single" w:sz="2" w:space="0" w:color="000000"/>
                    <w:left w:val="single" w:sz="2" w:space="0" w:color="000000"/>
                    <w:bottom w:val="single" w:sz="2" w:space="0" w:color="000000"/>
                    <w:right w:val="single" w:sz="2" w:space="0" w:color="000000"/>
                  </w:divBdr>
                  <w:divsChild>
                    <w:div w:id="368456435">
                      <w:marLeft w:val="0"/>
                      <w:marRight w:val="0"/>
                      <w:marTop w:val="0"/>
                      <w:marBottom w:val="0"/>
                      <w:divBdr>
                        <w:top w:val="none" w:sz="0" w:space="0" w:color="auto"/>
                        <w:left w:val="none" w:sz="0" w:space="0" w:color="auto"/>
                        <w:bottom w:val="none" w:sz="0" w:space="0" w:color="auto"/>
                        <w:right w:val="none" w:sz="0" w:space="0" w:color="auto"/>
                      </w:divBdr>
                      <w:divsChild>
                        <w:div w:id="87695806">
                          <w:marLeft w:val="0"/>
                          <w:marRight w:val="0"/>
                          <w:marTop w:val="0"/>
                          <w:marBottom w:val="0"/>
                          <w:divBdr>
                            <w:top w:val="none" w:sz="0" w:space="0" w:color="auto"/>
                            <w:left w:val="none" w:sz="0" w:space="0" w:color="auto"/>
                            <w:bottom w:val="none" w:sz="0" w:space="0" w:color="auto"/>
                            <w:right w:val="none" w:sz="0" w:space="0" w:color="auto"/>
                          </w:divBdr>
                          <w:divsChild>
                            <w:div w:id="15617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363013">
          <w:marLeft w:val="0"/>
          <w:marRight w:val="0"/>
          <w:marTop w:val="0"/>
          <w:marBottom w:val="0"/>
          <w:divBdr>
            <w:top w:val="none" w:sz="0" w:space="0" w:color="auto"/>
            <w:left w:val="none" w:sz="0" w:space="0" w:color="auto"/>
            <w:bottom w:val="none" w:sz="0" w:space="0" w:color="auto"/>
            <w:right w:val="none" w:sz="0" w:space="0" w:color="auto"/>
          </w:divBdr>
          <w:divsChild>
            <w:div w:id="20210050">
              <w:marLeft w:val="0"/>
              <w:marRight w:val="0"/>
              <w:marTop w:val="0"/>
              <w:marBottom w:val="0"/>
              <w:divBdr>
                <w:top w:val="none" w:sz="0" w:space="0" w:color="auto"/>
                <w:left w:val="none" w:sz="0" w:space="0" w:color="auto"/>
                <w:bottom w:val="none" w:sz="0" w:space="0" w:color="auto"/>
                <w:right w:val="none" w:sz="0" w:space="0" w:color="auto"/>
              </w:divBdr>
            </w:div>
            <w:div w:id="979070744">
              <w:marLeft w:val="0"/>
              <w:marRight w:val="0"/>
              <w:marTop w:val="0"/>
              <w:marBottom w:val="0"/>
              <w:divBdr>
                <w:top w:val="none" w:sz="0" w:space="0" w:color="auto"/>
                <w:left w:val="none" w:sz="0" w:space="0" w:color="auto"/>
                <w:bottom w:val="none" w:sz="0" w:space="0" w:color="auto"/>
                <w:right w:val="none" w:sz="0" w:space="0" w:color="auto"/>
              </w:divBdr>
              <w:divsChild>
                <w:div w:id="2113427834">
                  <w:marLeft w:val="0"/>
                  <w:marRight w:val="0"/>
                  <w:marTop w:val="375"/>
                  <w:marBottom w:val="375"/>
                  <w:divBdr>
                    <w:top w:val="single" w:sz="2" w:space="0" w:color="000000"/>
                    <w:left w:val="single" w:sz="2" w:space="0" w:color="000000"/>
                    <w:bottom w:val="single" w:sz="2" w:space="0" w:color="000000"/>
                    <w:right w:val="single" w:sz="2" w:space="0" w:color="000000"/>
                  </w:divBdr>
                  <w:divsChild>
                    <w:div w:id="2629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49656">
      <w:bodyDiv w:val="1"/>
      <w:marLeft w:val="0"/>
      <w:marRight w:val="0"/>
      <w:marTop w:val="0"/>
      <w:marBottom w:val="0"/>
      <w:divBdr>
        <w:top w:val="none" w:sz="0" w:space="0" w:color="auto"/>
        <w:left w:val="none" w:sz="0" w:space="0" w:color="auto"/>
        <w:bottom w:val="none" w:sz="0" w:space="0" w:color="auto"/>
        <w:right w:val="none" w:sz="0" w:space="0" w:color="auto"/>
      </w:divBdr>
    </w:div>
    <w:div w:id="1483765590">
      <w:bodyDiv w:val="1"/>
      <w:marLeft w:val="0"/>
      <w:marRight w:val="0"/>
      <w:marTop w:val="0"/>
      <w:marBottom w:val="0"/>
      <w:divBdr>
        <w:top w:val="none" w:sz="0" w:space="0" w:color="auto"/>
        <w:left w:val="none" w:sz="0" w:space="0" w:color="auto"/>
        <w:bottom w:val="none" w:sz="0" w:space="0" w:color="auto"/>
        <w:right w:val="none" w:sz="0" w:space="0" w:color="auto"/>
      </w:divBdr>
    </w:div>
    <w:div w:id="1564875782">
      <w:bodyDiv w:val="1"/>
      <w:marLeft w:val="0"/>
      <w:marRight w:val="0"/>
      <w:marTop w:val="0"/>
      <w:marBottom w:val="0"/>
      <w:divBdr>
        <w:top w:val="none" w:sz="0" w:space="0" w:color="auto"/>
        <w:left w:val="none" w:sz="0" w:space="0" w:color="auto"/>
        <w:bottom w:val="none" w:sz="0" w:space="0" w:color="auto"/>
        <w:right w:val="none" w:sz="0" w:space="0" w:color="auto"/>
      </w:divBdr>
    </w:div>
    <w:div w:id="1599024501">
      <w:bodyDiv w:val="1"/>
      <w:marLeft w:val="0"/>
      <w:marRight w:val="0"/>
      <w:marTop w:val="0"/>
      <w:marBottom w:val="0"/>
      <w:divBdr>
        <w:top w:val="none" w:sz="0" w:space="0" w:color="auto"/>
        <w:left w:val="none" w:sz="0" w:space="0" w:color="auto"/>
        <w:bottom w:val="none" w:sz="0" w:space="0" w:color="auto"/>
        <w:right w:val="none" w:sz="0" w:space="0" w:color="auto"/>
      </w:divBdr>
    </w:div>
    <w:div w:id="1708599580">
      <w:bodyDiv w:val="1"/>
      <w:marLeft w:val="0"/>
      <w:marRight w:val="0"/>
      <w:marTop w:val="0"/>
      <w:marBottom w:val="0"/>
      <w:divBdr>
        <w:top w:val="none" w:sz="0" w:space="0" w:color="auto"/>
        <w:left w:val="none" w:sz="0" w:space="0" w:color="auto"/>
        <w:bottom w:val="none" w:sz="0" w:space="0" w:color="auto"/>
        <w:right w:val="none" w:sz="0" w:space="0" w:color="auto"/>
      </w:divBdr>
    </w:div>
    <w:div w:id="1776245763">
      <w:bodyDiv w:val="1"/>
      <w:marLeft w:val="0"/>
      <w:marRight w:val="0"/>
      <w:marTop w:val="0"/>
      <w:marBottom w:val="0"/>
      <w:divBdr>
        <w:top w:val="none" w:sz="0" w:space="0" w:color="auto"/>
        <w:left w:val="none" w:sz="0" w:space="0" w:color="auto"/>
        <w:bottom w:val="none" w:sz="0" w:space="0" w:color="auto"/>
        <w:right w:val="none" w:sz="0" w:space="0" w:color="auto"/>
      </w:divBdr>
    </w:div>
    <w:div w:id="1980067430">
      <w:bodyDiv w:val="1"/>
      <w:marLeft w:val="0"/>
      <w:marRight w:val="0"/>
      <w:marTop w:val="0"/>
      <w:marBottom w:val="0"/>
      <w:divBdr>
        <w:top w:val="none" w:sz="0" w:space="0" w:color="auto"/>
        <w:left w:val="none" w:sz="0" w:space="0" w:color="auto"/>
        <w:bottom w:val="none" w:sz="0" w:space="0" w:color="auto"/>
        <w:right w:val="none" w:sz="0" w:space="0" w:color="auto"/>
      </w:divBdr>
      <w:divsChild>
        <w:div w:id="1538809559">
          <w:marLeft w:val="0"/>
          <w:marRight w:val="0"/>
          <w:marTop w:val="0"/>
          <w:marBottom w:val="0"/>
          <w:divBdr>
            <w:top w:val="none" w:sz="0" w:space="0" w:color="auto"/>
            <w:left w:val="none" w:sz="0" w:space="0" w:color="auto"/>
            <w:bottom w:val="none" w:sz="0" w:space="0" w:color="auto"/>
            <w:right w:val="none" w:sz="0" w:space="0" w:color="auto"/>
          </w:divBdr>
          <w:divsChild>
            <w:div w:id="296616442">
              <w:marLeft w:val="0"/>
              <w:marRight w:val="0"/>
              <w:marTop w:val="0"/>
              <w:marBottom w:val="0"/>
              <w:divBdr>
                <w:top w:val="none" w:sz="0" w:space="0" w:color="auto"/>
                <w:left w:val="none" w:sz="0" w:space="0" w:color="auto"/>
                <w:bottom w:val="none" w:sz="0" w:space="0" w:color="auto"/>
                <w:right w:val="none" w:sz="0" w:space="0" w:color="auto"/>
              </w:divBdr>
              <w:divsChild>
                <w:div w:id="977077662">
                  <w:marLeft w:val="0"/>
                  <w:marRight w:val="0"/>
                  <w:marTop w:val="375"/>
                  <w:marBottom w:val="375"/>
                  <w:divBdr>
                    <w:top w:val="single" w:sz="2" w:space="0" w:color="000000"/>
                    <w:left w:val="single" w:sz="2" w:space="0" w:color="000000"/>
                    <w:bottom w:val="single" w:sz="2" w:space="0" w:color="000000"/>
                    <w:right w:val="single" w:sz="2" w:space="0" w:color="000000"/>
                  </w:divBdr>
                  <w:divsChild>
                    <w:div w:id="30694368">
                      <w:marLeft w:val="0"/>
                      <w:marRight w:val="0"/>
                      <w:marTop w:val="0"/>
                      <w:marBottom w:val="0"/>
                      <w:divBdr>
                        <w:top w:val="none" w:sz="0" w:space="0" w:color="auto"/>
                        <w:left w:val="none" w:sz="0" w:space="0" w:color="auto"/>
                        <w:bottom w:val="none" w:sz="0" w:space="0" w:color="auto"/>
                        <w:right w:val="none" w:sz="0" w:space="0" w:color="auto"/>
                      </w:divBdr>
                      <w:divsChild>
                        <w:div w:id="1049954832">
                          <w:marLeft w:val="0"/>
                          <w:marRight w:val="0"/>
                          <w:marTop w:val="0"/>
                          <w:marBottom w:val="0"/>
                          <w:divBdr>
                            <w:top w:val="none" w:sz="0" w:space="0" w:color="auto"/>
                            <w:left w:val="none" w:sz="0" w:space="0" w:color="auto"/>
                            <w:bottom w:val="none" w:sz="0" w:space="0" w:color="auto"/>
                            <w:right w:val="none" w:sz="0" w:space="0" w:color="auto"/>
                          </w:divBdr>
                          <w:divsChild>
                            <w:div w:id="4847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6839">
          <w:marLeft w:val="0"/>
          <w:marRight w:val="0"/>
          <w:marTop w:val="0"/>
          <w:marBottom w:val="0"/>
          <w:divBdr>
            <w:top w:val="none" w:sz="0" w:space="0" w:color="auto"/>
            <w:left w:val="none" w:sz="0" w:space="0" w:color="auto"/>
            <w:bottom w:val="none" w:sz="0" w:space="0" w:color="auto"/>
            <w:right w:val="none" w:sz="0" w:space="0" w:color="auto"/>
          </w:divBdr>
          <w:divsChild>
            <w:div w:id="2042703137">
              <w:marLeft w:val="0"/>
              <w:marRight w:val="0"/>
              <w:marTop w:val="0"/>
              <w:marBottom w:val="0"/>
              <w:divBdr>
                <w:top w:val="none" w:sz="0" w:space="0" w:color="auto"/>
                <w:left w:val="none" w:sz="0" w:space="0" w:color="auto"/>
                <w:bottom w:val="none" w:sz="0" w:space="0" w:color="auto"/>
                <w:right w:val="none" w:sz="0" w:space="0" w:color="auto"/>
              </w:divBdr>
            </w:div>
            <w:div w:id="1238173096">
              <w:marLeft w:val="0"/>
              <w:marRight w:val="0"/>
              <w:marTop w:val="0"/>
              <w:marBottom w:val="0"/>
              <w:divBdr>
                <w:top w:val="none" w:sz="0" w:space="0" w:color="auto"/>
                <w:left w:val="none" w:sz="0" w:space="0" w:color="auto"/>
                <w:bottom w:val="none" w:sz="0" w:space="0" w:color="auto"/>
                <w:right w:val="none" w:sz="0" w:space="0" w:color="auto"/>
              </w:divBdr>
              <w:divsChild>
                <w:div w:id="1032418631">
                  <w:marLeft w:val="0"/>
                  <w:marRight w:val="0"/>
                  <w:marTop w:val="375"/>
                  <w:marBottom w:val="375"/>
                  <w:divBdr>
                    <w:top w:val="single" w:sz="2" w:space="0" w:color="000000"/>
                    <w:left w:val="single" w:sz="2" w:space="0" w:color="000000"/>
                    <w:bottom w:val="single" w:sz="2" w:space="0" w:color="000000"/>
                    <w:right w:val="single" w:sz="2" w:space="0" w:color="000000"/>
                  </w:divBdr>
                  <w:divsChild>
                    <w:div w:id="956377299">
                      <w:marLeft w:val="0"/>
                      <w:marRight w:val="0"/>
                      <w:marTop w:val="0"/>
                      <w:marBottom w:val="0"/>
                      <w:divBdr>
                        <w:top w:val="none" w:sz="0" w:space="0" w:color="auto"/>
                        <w:left w:val="none" w:sz="0" w:space="0" w:color="auto"/>
                        <w:bottom w:val="none" w:sz="0" w:space="0" w:color="auto"/>
                        <w:right w:val="none" w:sz="0" w:space="0" w:color="auto"/>
                      </w:divBdr>
                      <w:divsChild>
                        <w:div w:id="1383097032">
                          <w:marLeft w:val="0"/>
                          <w:marRight w:val="0"/>
                          <w:marTop w:val="0"/>
                          <w:marBottom w:val="0"/>
                          <w:divBdr>
                            <w:top w:val="none" w:sz="0" w:space="0" w:color="auto"/>
                            <w:left w:val="none" w:sz="0" w:space="0" w:color="auto"/>
                            <w:bottom w:val="none" w:sz="0" w:space="0" w:color="auto"/>
                            <w:right w:val="none" w:sz="0" w:space="0" w:color="auto"/>
                          </w:divBdr>
                          <w:divsChild>
                            <w:div w:id="1639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911">
          <w:marLeft w:val="0"/>
          <w:marRight w:val="0"/>
          <w:marTop w:val="0"/>
          <w:marBottom w:val="0"/>
          <w:divBdr>
            <w:top w:val="none" w:sz="0" w:space="0" w:color="auto"/>
            <w:left w:val="none" w:sz="0" w:space="0" w:color="auto"/>
            <w:bottom w:val="none" w:sz="0" w:space="0" w:color="auto"/>
            <w:right w:val="none" w:sz="0" w:space="0" w:color="auto"/>
          </w:divBdr>
          <w:divsChild>
            <w:div w:id="667245223">
              <w:marLeft w:val="0"/>
              <w:marRight w:val="0"/>
              <w:marTop w:val="0"/>
              <w:marBottom w:val="0"/>
              <w:divBdr>
                <w:top w:val="none" w:sz="0" w:space="0" w:color="auto"/>
                <w:left w:val="none" w:sz="0" w:space="0" w:color="auto"/>
                <w:bottom w:val="none" w:sz="0" w:space="0" w:color="auto"/>
                <w:right w:val="none" w:sz="0" w:space="0" w:color="auto"/>
              </w:divBdr>
            </w:div>
            <w:div w:id="1484662266">
              <w:marLeft w:val="0"/>
              <w:marRight w:val="0"/>
              <w:marTop w:val="0"/>
              <w:marBottom w:val="0"/>
              <w:divBdr>
                <w:top w:val="none" w:sz="0" w:space="0" w:color="auto"/>
                <w:left w:val="none" w:sz="0" w:space="0" w:color="auto"/>
                <w:bottom w:val="none" w:sz="0" w:space="0" w:color="auto"/>
                <w:right w:val="none" w:sz="0" w:space="0" w:color="auto"/>
              </w:divBdr>
              <w:divsChild>
                <w:div w:id="841747102">
                  <w:marLeft w:val="0"/>
                  <w:marRight w:val="0"/>
                  <w:marTop w:val="375"/>
                  <w:marBottom w:val="375"/>
                  <w:divBdr>
                    <w:top w:val="single" w:sz="2" w:space="0" w:color="000000"/>
                    <w:left w:val="single" w:sz="2" w:space="0" w:color="000000"/>
                    <w:bottom w:val="single" w:sz="2" w:space="0" w:color="000000"/>
                    <w:right w:val="single" w:sz="2" w:space="0" w:color="000000"/>
                  </w:divBdr>
                  <w:divsChild>
                    <w:div w:id="14986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26327">
      <w:bodyDiv w:val="1"/>
      <w:marLeft w:val="0"/>
      <w:marRight w:val="0"/>
      <w:marTop w:val="0"/>
      <w:marBottom w:val="0"/>
      <w:divBdr>
        <w:top w:val="none" w:sz="0" w:space="0" w:color="auto"/>
        <w:left w:val="none" w:sz="0" w:space="0" w:color="auto"/>
        <w:bottom w:val="none" w:sz="0" w:space="0" w:color="auto"/>
        <w:right w:val="none" w:sz="0" w:space="0" w:color="auto"/>
      </w:divBdr>
    </w:div>
    <w:div w:id="1994092703">
      <w:bodyDiv w:val="1"/>
      <w:marLeft w:val="0"/>
      <w:marRight w:val="0"/>
      <w:marTop w:val="0"/>
      <w:marBottom w:val="0"/>
      <w:divBdr>
        <w:top w:val="none" w:sz="0" w:space="0" w:color="auto"/>
        <w:left w:val="none" w:sz="0" w:space="0" w:color="auto"/>
        <w:bottom w:val="none" w:sz="0" w:space="0" w:color="auto"/>
        <w:right w:val="none" w:sz="0" w:space="0" w:color="auto"/>
      </w:divBdr>
    </w:div>
    <w:div w:id="1995910301">
      <w:bodyDiv w:val="1"/>
      <w:marLeft w:val="0"/>
      <w:marRight w:val="0"/>
      <w:marTop w:val="0"/>
      <w:marBottom w:val="0"/>
      <w:divBdr>
        <w:top w:val="none" w:sz="0" w:space="0" w:color="auto"/>
        <w:left w:val="none" w:sz="0" w:space="0" w:color="auto"/>
        <w:bottom w:val="none" w:sz="0" w:space="0" w:color="auto"/>
        <w:right w:val="none" w:sz="0" w:space="0" w:color="auto"/>
      </w:divBdr>
      <w:divsChild>
        <w:div w:id="221333906">
          <w:marLeft w:val="0"/>
          <w:marRight w:val="0"/>
          <w:marTop w:val="0"/>
          <w:marBottom w:val="0"/>
          <w:divBdr>
            <w:top w:val="none" w:sz="0" w:space="0" w:color="auto"/>
            <w:left w:val="none" w:sz="0" w:space="0" w:color="auto"/>
            <w:bottom w:val="none" w:sz="0" w:space="0" w:color="auto"/>
            <w:right w:val="none" w:sz="0" w:space="0" w:color="auto"/>
          </w:divBdr>
          <w:divsChild>
            <w:div w:id="1500346447">
              <w:marLeft w:val="0"/>
              <w:marRight w:val="0"/>
              <w:marTop w:val="0"/>
              <w:marBottom w:val="0"/>
              <w:divBdr>
                <w:top w:val="none" w:sz="0" w:space="0" w:color="auto"/>
                <w:left w:val="none" w:sz="0" w:space="0" w:color="auto"/>
                <w:bottom w:val="none" w:sz="0" w:space="0" w:color="auto"/>
                <w:right w:val="none" w:sz="0" w:space="0" w:color="auto"/>
              </w:divBdr>
              <w:divsChild>
                <w:div w:id="97872175">
                  <w:marLeft w:val="0"/>
                  <w:marRight w:val="0"/>
                  <w:marTop w:val="375"/>
                  <w:marBottom w:val="375"/>
                  <w:divBdr>
                    <w:top w:val="single" w:sz="2" w:space="0" w:color="000000"/>
                    <w:left w:val="single" w:sz="2" w:space="0" w:color="000000"/>
                    <w:bottom w:val="single" w:sz="2" w:space="0" w:color="000000"/>
                    <w:right w:val="single" w:sz="2" w:space="0" w:color="000000"/>
                  </w:divBdr>
                  <w:divsChild>
                    <w:div w:id="1784223419">
                      <w:marLeft w:val="0"/>
                      <w:marRight w:val="0"/>
                      <w:marTop w:val="0"/>
                      <w:marBottom w:val="0"/>
                      <w:divBdr>
                        <w:top w:val="none" w:sz="0" w:space="0" w:color="auto"/>
                        <w:left w:val="none" w:sz="0" w:space="0" w:color="auto"/>
                        <w:bottom w:val="none" w:sz="0" w:space="0" w:color="auto"/>
                        <w:right w:val="none" w:sz="0" w:space="0" w:color="auto"/>
                      </w:divBdr>
                      <w:divsChild>
                        <w:div w:id="285547454">
                          <w:marLeft w:val="0"/>
                          <w:marRight w:val="0"/>
                          <w:marTop w:val="0"/>
                          <w:marBottom w:val="0"/>
                          <w:divBdr>
                            <w:top w:val="none" w:sz="0" w:space="0" w:color="auto"/>
                            <w:left w:val="none" w:sz="0" w:space="0" w:color="auto"/>
                            <w:bottom w:val="none" w:sz="0" w:space="0" w:color="auto"/>
                            <w:right w:val="none" w:sz="0" w:space="0" w:color="auto"/>
                          </w:divBdr>
                          <w:divsChild>
                            <w:div w:id="8522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5444">
          <w:marLeft w:val="0"/>
          <w:marRight w:val="0"/>
          <w:marTop w:val="0"/>
          <w:marBottom w:val="0"/>
          <w:divBdr>
            <w:top w:val="none" w:sz="0" w:space="0" w:color="auto"/>
            <w:left w:val="none" w:sz="0" w:space="0" w:color="auto"/>
            <w:bottom w:val="none" w:sz="0" w:space="0" w:color="auto"/>
            <w:right w:val="none" w:sz="0" w:space="0" w:color="auto"/>
          </w:divBdr>
          <w:divsChild>
            <w:div w:id="49770995">
              <w:marLeft w:val="0"/>
              <w:marRight w:val="0"/>
              <w:marTop w:val="0"/>
              <w:marBottom w:val="0"/>
              <w:divBdr>
                <w:top w:val="none" w:sz="0" w:space="0" w:color="auto"/>
                <w:left w:val="none" w:sz="0" w:space="0" w:color="auto"/>
                <w:bottom w:val="none" w:sz="0" w:space="0" w:color="auto"/>
                <w:right w:val="none" w:sz="0" w:space="0" w:color="auto"/>
              </w:divBdr>
            </w:div>
            <w:div w:id="620765332">
              <w:marLeft w:val="0"/>
              <w:marRight w:val="0"/>
              <w:marTop w:val="0"/>
              <w:marBottom w:val="0"/>
              <w:divBdr>
                <w:top w:val="none" w:sz="0" w:space="0" w:color="auto"/>
                <w:left w:val="none" w:sz="0" w:space="0" w:color="auto"/>
                <w:bottom w:val="none" w:sz="0" w:space="0" w:color="auto"/>
                <w:right w:val="none" w:sz="0" w:space="0" w:color="auto"/>
              </w:divBdr>
              <w:divsChild>
                <w:div w:id="1353149525">
                  <w:marLeft w:val="0"/>
                  <w:marRight w:val="0"/>
                  <w:marTop w:val="375"/>
                  <w:marBottom w:val="375"/>
                  <w:divBdr>
                    <w:top w:val="single" w:sz="2" w:space="0" w:color="000000"/>
                    <w:left w:val="single" w:sz="2" w:space="0" w:color="000000"/>
                    <w:bottom w:val="single" w:sz="2" w:space="0" w:color="000000"/>
                    <w:right w:val="single" w:sz="2" w:space="0" w:color="000000"/>
                  </w:divBdr>
                  <w:divsChild>
                    <w:div w:id="1673415837">
                      <w:marLeft w:val="0"/>
                      <w:marRight w:val="0"/>
                      <w:marTop w:val="0"/>
                      <w:marBottom w:val="0"/>
                      <w:divBdr>
                        <w:top w:val="none" w:sz="0" w:space="0" w:color="auto"/>
                        <w:left w:val="none" w:sz="0" w:space="0" w:color="auto"/>
                        <w:bottom w:val="none" w:sz="0" w:space="0" w:color="auto"/>
                        <w:right w:val="none" w:sz="0" w:space="0" w:color="auto"/>
                      </w:divBdr>
                      <w:divsChild>
                        <w:div w:id="1027172916">
                          <w:marLeft w:val="0"/>
                          <w:marRight w:val="0"/>
                          <w:marTop w:val="0"/>
                          <w:marBottom w:val="0"/>
                          <w:divBdr>
                            <w:top w:val="none" w:sz="0" w:space="0" w:color="auto"/>
                            <w:left w:val="none" w:sz="0" w:space="0" w:color="auto"/>
                            <w:bottom w:val="none" w:sz="0" w:space="0" w:color="auto"/>
                            <w:right w:val="none" w:sz="0" w:space="0" w:color="auto"/>
                          </w:divBdr>
                          <w:divsChild>
                            <w:div w:id="3944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22434">
          <w:marLeft w:val="0"/>
          <w:marRight w:val="0"/>
          <w:marTop w:val="0"/>
          <w:marBottom w:val="0"/>
          <w:divBdr>
            <w:top w:val="none" w:sz="0" w:space="0" w:color="auto"/>
            <w:left w:val="none" w:sz="0" w:space="0" w:color="auto"/>
            <w:bottom w:val="none" w:sz="0" w:space="0" w:color="auto"/>
            <w:right w:val="none" w:sz="0" w:space="0" w:color="auto"/>
          </w:divBdr>
          <w:divsChild>
            <w:div w:id="950236310">
              <w:marLeft w:val="0"/>
              <w:marRight w:val="0"/>
              <w:marTop w:val="0"/>
              <w:marBottom w:val="0"/>
              <w:divBdr>
                <w:top w:val="none" w:sz="0" w:space="0" w:color="auto"/>
                <w:left w:val="none" w:sz="0" w:space="0" w:color="auto"/>
                <w:bottom w:val="none" w:sz="0" w:space="0" w:color="auto"/>
                <w:right w:val="none" w:sz="0" w:space="0" w:color="auto"/>
              </w:divBdr>
            </w:div>
            <w:div w:id="21247435">
              <w:marLeft w:val="0"/>
              <w:marRight w:val="0"/>
              <w:marTop w:val="0"/>
              <w:marBottom w:val="0"/>
              <w:divBdr>
                <w:top w:val="none" w:sz="0" w:space="0" w:color="auto"/>
                <w:left w:val="none" w:sz="0" w:space="0" w:color="auto"/>
                <w:bottom w:val="none" w:sz="0" w:space="0" w:color="auto"/>
                <w:right w:val="none" w:sz="0" w:space="0" w:color="auto"/>
              </w:divBdr>
              <w:divsChild>
                <w:div w:id="1809593741">
                  <w:marLeft w:val="0"/>
                  <w:marRight w:val="0"/>
                  <w:marTop w:val="375"/>
                  <w:marBottom w:val="375"/>
                  <w:divBdr>
                    <w:top w:val="single" w:sz="2" w:space="0" w:color="000000"/>
                    <w:left w:val="single" w:sz="2" w:space="0" w:color="000000"/>
                    <w:bottom w:val="single" w:sz="2" w:space="0" w:color="000000"/>
                    <w:right w:val="single" w:sz="2" w:space="0" w:color="000000"/>
                  </w:divBdr>
                  <w:divsChild>
                    <w:div w:id="19546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006914">
      <w:bodyDiv w:val="1"/>
      <w:marLeft w:val="0"/>
      <w:marRight w:val="0"/>
      <w:marTop w:val="0"/>
      <w:marBottom w:val="0"/>
      <w:divBdr>
        <w:top w:val="none" w:sz="0" w:space="0" w:color="auto"/>
        <w:left w:val="none" w:sz="0" w:space="0" w:color="auto"/>
        <w:bottom w:val="none" w:sz="0" w:space="0" w:color="auto"/>
        <w:right w:val="none" w:sz="0" w:space="0" w:color="auto"/>
      </w:divBdr>
    </w:div>
    <w:div w:id="2096851859">
      <w:bodyDiv w:val="1"/>
      <w:marLeft w:val="0"/>
      <w:marRight w:val="0"/>
      <w:marTop w:val="0"/>
      <w:marBottom w:val="0"/>
      <w:divBdr>
        <w:top w:val="none" w:sz="0" w:space="0" w:color="auto"/>
        <w:left w:val="none" w:sz="0" w:space="0" w:color="auto"/>
        <w:bottom w:val="none" w:sz="0" w:space="0" w:color="auto"/>
        <w:right w:val="none" w:sz="0" w:space="0" w:color="auto"/>
      </w:divBdr>
      <w:divsChild>
        <w:div w:id="1066957456">
          <w:marLeft w:val="0"/>
          <w:marRight w:val="0"/>
          <w:marTop w:val="0"/>
          <w:marBottom w:val="0"/>
          <w:divBdr>
            <w:top w:val="none" w:sz="0" w:space="0" w:color="auto"/>
            <w:left w:val="none" w:sz="0" w:space="0" w:color="auto"/>
            <w:bottom w:val="none" w:sz="0" w:space="0" w:color="auto"/>
            <w:right w:val="none" w:sz="0" w:space="0" w:color="auto"/>
          </w:divBdr>
          <w:divsChild>
            <w:div w:id="1121805654">
              <w:marLeft w:val="0"/>
              <w:marRight w:val="0"/>
              <w:marTop w:val="0"/>
              <w:marBottom w:val="0"/>
              <w:divBdr>
                <w:top w:val="none" w:sz="0" w:space="0" w:color="auto"/>
                <w:left w:val="none" w:sz="0" w:space="0" w:color="auto"/>
                <w:bottom w:val="none" w:sz="0" w:space="0" w:color="auto"/>
                <w:right w:val="none" w:sz="0" w:space="0" w:color="auto"/>
              </w:divBdr>
              <w:divsChild>
                <w:div w:id="1565993778">
                  <w:marLeft w:val="0"/>
                  <w:marRight w:val="0"/>
                  <w:marTop w:val="375"/>
                  <w:marBottom w:val="375"/>
                  <w:divBdr>
                    <w:top w:val="single" w:sz="2" w:space="0" w:color="000000"/>
                    <w:left w:val="single" w:sz="2" w:space="0" w:color="000000"/>
                    <w:bottom w:val="single" w:sz="2" w:space="0" w:color="000000"/>
                    <w:right w:val="single" w:sz="2" w:space="0" w:color="000000"/>
                  </w:divBdr>
                  <w:divsChild>
                    <w:div w:id="1655796363">
                      <w:marLeft w:val="0"/>
                      <w:marRight w:val="0"/>
                      <w:marTop w:val="0"/>
                      <w:marBottom w:val="0"/>
                      <w:divBdr>
                        <w:top w:val="none" w:sz="0" w:space="0" w:color="auto"/>
                        <w:left w:val="none" w:sz="0" w:space="0" w:color="auto"/>
                        <w:bottom w:val="none" w:sz="0" w:space="0" w:color="auto"/>
                        <w:right w:val="none" w:sz="0" w:space="0" w:color="auto"/>
                      </w:divBdr>
                      <w:divsChild>
                        <w:div w:id="1202136846">
                          <w:marLeft w:val="0"/>
                          <w:marRight w:val="0"/>
                          <w:marTop w:val="0"/>
                          <w:marBottom w:val="0"/>
                          <w:divBdr>
                            <w:top w:val="none" w:sz="0" w:space="0" w:color="auto"/>
                            <w:left w:val="none" w:sz="0" w:space="0" w:color="auto"/>
                            <w:bottom w:val="none" w:sz="0" w:space="0" w:color="auto"/>
                            <w:right w:val="none" w:sz="0" w:space="0" w:color="auto"/>
                          </w:divBdr>
                          <w:divsChild>
                            <w:div w:id="348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639">
          <w:marLeft w:val="0"/>
          <w:marRight w:val="0"/>
          <w:marTop w:val="0"/>
          <w:marBottom w:val="0"/>
          <w:divBdr>
            <w:top w:val="none" w:sz="0" w:space="0" w:color="auto"/>
            <w:left w:val="none" w:sz="0" w:space="0" w:color="auto"/>
            <w:bottom w:val="none" w:sz="0" w:space="0" w:color="auto"/>
            <w:right w:val="none" w:sz="0" w:space="0" w:color="auto"/>
          </w:divBdr>
          <w:divsChild>
            <w:div w:id="352153188">
              <w:marLeft w:val="0"/>
              <w:marRight w:val="0"/>
              <w:marTop w:val="0"/>
              <w:marBottom w:val="0"/>
              <w:divBdr>
                <w:top w:val="none" w:sz="0" w:space="0" w:color="auto"/>
                <w:left w:val="none" w:sz="0" w:space="0" w:color="auto"/>
                <w:bottom w:val="none" w:sz="0" w:space="0" w:color="auto"/>
                <w:right w:val="none" w:sz="0" w:space="0" w:color="auto"/>
              </w:divBdr>
            </w:div>
            <w:div w:id="1533609572">
              <w:marLeft w:val="0"/>
              <w:marRight w:val="0"/>
              <w:marTop w:val="0"/>
              <w:marBottom w:val="0"/>
              <w:divBdr>
                <w:top w:val="none" w:sz="0" w:space="0" w:color="auto"/>
                <w:left w:val="none" w:sz="0" w:space="0" w:color="auto"/>
                <w:bottom w:val="none" w:sz="0" w:space="0" w:color="auto"/>
                <w:right w:val="none" w:sz="0" w:space="0" w:color="auto"/>
              </w:divBdr>
              <w:divsChild>
                <w:div w:id="420759643">
                  <w:marLeft w:val="0"/>
                  <w:marRight w:val="0"/>
                  <w:marTop w:val="375"/>
                  <w:marBottom w:val="375"/>
                  <w:divBdr>
                    <w:top w:val="single" w:sz="2" w:space="0" w:color="000000"/>
                    <w:left w:val="single" w:sz="2" w:space="0" w:color="000000"/>
                    <w:bottom w:val="single" w:sz="2" w:space="0" w:color="000000"/>
                    <w:right w:val="single" w:sz="2" w:space="0" w:color="000000"/>
                  </w:divBdr>
                  <w:divsChild>
                    <w:div w:id="60638710">
                      <w:marLeft w:val="0"/>
                      <w:marRight w:val="0"/>
                      <w:marTop w:val="0"/>
                      <w:marBottom w:val="0"/>
                      <w:divBdr>
                        <w:top w:val="none" w:sz="0" w:space="0" w:color="auto"/>
                        <w:left w:val="none" w:sz="0" w:space="0" w:color="auto"/>
                        <w:bottom w:val="none" w:sz="0" w:space="0" w:color="auto"/>
                        <w:right w:val="none" w:sz="0" w:space="0" w:color="auto"/>
                      </w:divBdr>
                      <w:divsChild>
                        <w:div w:id="1739207557">
                          <w:marLeft w:val="0"/>
                          <w:marRight w:val="0"/>
                          <w:marTop w:val="0"/>
                          <w:marBottom w:val="0"/>
                          <w:divBdr>
                            <w:top w:val="none" w:sz="0" w:space="0" w:color="auto"/>
                            <w:left w:val="none" w:sz="0" w:space="0" w:color="auto"/>
                            <w:bottom w:val="none" w:sz="0" w:space="0" w:color="auto"/>
                            <w:right w:val="none" w:sz="0" w:space="0" w:color="auto"/>
                          </w:divBdr>
                          <w:divsChild>
                            <w:div w:id="2584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253819">
          <w:marLeft w:val="0"/>
          <w:marRight w:val="0"/>
          <w:marTop w:val="0"/>
          <w:marBottom w:val="0"/>
          <w:divBdr>
            <w:top w:val="none" w:sz="0" w:space="0" w:color="auto"/>
            <w:left w:val="none" w:sz="0" w:space="0" w:color="auto"/>
            <w:bottom w:val="none" w:sz="0" w:space="0" w:color="auto"/>
            <w:right w:val="none" w:sz="0" w:space="0" w:color="auto"/>
          </w:divBdr>
          <w:divsChild>
            <w:div w:id="931821017">
              <w:marLeft w:val="0"/>
              <w:marRight w:val="0"/>
              <w:marTop w:val="0"/>
              <w:marBottom w:val="0"/>
              <w:divBdr>
                <w:top w:val="none" w:sz="0" w:space="0" w:color="auto"/>
                <w:left w:val="none" w:sz="0" w:space="0" w:color="auto"/>
                <w:bottom w:val="none" w:sz="0" w:space="0" w:color="auto"/>
                <w:right w:val="none" w:sz="0" w:space="0" w:color="auto"/>
              </w:divBdr>
            </w:div>
            <w:div w:id="1860465716">
              <w:marLeft w:val="0"/>
              <w:marRight w:val="0"/>
              <w:marTop w:val="0"/>
              <w:marBottom w:val="0"/>
              <w:divBdr>
                <w:top w:val="none" w:sz="0" w:space="0" w:color="auto"/>
                <w:left w:val="none" w:sz="0" w:space="0" w:color="auto"/>
                <w:bottom w:val="none" w:sz="0" w:space="0" w:color="auto"/>
                <w:right w:val="none" w:sz="0" w:space="0" w:color="auto"/>
              </w:divBdr>
              <w:divsChild>
                <w:div w:id="906721298">
                  <w:marLeft w:val="0"/>
                  <w:marRight w:val="0"/>
                  <w:marTop w:val="375"/>
                  <w:marBottom w:val="375"/>
                  <w:divBdr>
                    <w:top w:val="single" w:sz="2" w:space="0" w:color="000000"/>
                    <w:left w:val="single" w:sz="2" w:space="0" w:color="000000"/>
                    <w:bottom w:val="single" w:sz="2" w:space="0" w:color="000000"/>
                    <w:right w:val="single" w:sz="2" w:space="0" w:color="000000"/>
                  </w:divBdr>
                  <w:divsChild>
                    <w:div w:id="5796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McIntyre</dc:creator>
  <cp:keywords/>
  <dc:description/>
  <cp:lastModifiedBy>Alwyn Fortune</cp:lastModifiedBy>
  <cp:revision>22</cp:revision>
  <dcterms:created xsi:type="dcterms:W3CDTF">2024-09-26T14:01:00Z</dcterms:created>
  <dcterms:modified xsi:type="dcterms:W3CDTF">2024-10-10T19:50:00Z</dcterms:modified>
</cp:coreProperties>
</file>