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8"/>
      </w:tblGrid>
      <w:tr w:rsidRPr="00C80F70" w:rsidR="003F6C97" w:rsidTr="00661D47" w14:paraId="351E5B71" w14:textId="77777777">
        <w:tc>
          <w:tcPr>
            <w:tcW w:w="15268" w:type="dxa"/>
            <w:shd w:val="clear" w:color="auto" w:fill="auto"/>
          </w:tcPr>
          <w:p w:rsidRPr="00C80F70" w:rsidR="003F6C97" w:rsidP="003F6C97" w:rsidRDefault="003F6C97" w14:paraId="0909C954" w14:textId="7777777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rsidRPr="00C80F70" w:rsidR="006B19C9" w:rsidP="003F6C97" w:rsidRDefault="006B19C9" w14:paraId="577D4F37" w14:textId="77777777">
            <w:pPr>
              <w:rPr>
                <w:rFonts w:cs="Arial"/>
                <w:b/>
                <w:sz w:val="24"/>
                <w:szCs w:val="24"/>
              </w:rPr>
            </w:pPr>
          </w:p>
          <w:p w:rsidRPr="00770EBB" w:rsidR="003F6C97" w:rsidP="00D36D76" w:rsidRDefault="003F6C97" w14:paraId="7D54D78E" w14:textId="77777777">
            <w:pPr>
              <w:numPr>
                <w:ilvl w:val="0"/>
                <w:numId w:val="9"/>
              </w:numPr>
              <w:rPr>
                <w:rFonts w:cs="Arial"/>
                <w:sz w:val="24"/>
                <w:szCs w:val="24"/>
              </w:rPr>
            </w:pPr>
            <w:r w:rsidRPr="00C80F70">
              <w:rPr>
                <w:rFonts w:cs="Arial"/>
                <w:sz w:val="24"/>
                <w:szCs w:val="24"/>
              </w:rPr>
              <w:t>Use this comment</w:t>
            </w:r>
            <w:r w:rsidRPr="00C80F70" w:rsidR="00B75064">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Pr="00C80F70" w:rsidR="006B19C9">
              <w:rPr>
                <w:rFonts w:cs="Arial"/>
                <w:bCs/>
                <w:sz w:val="24"/>
                <w:szCs w:val="24"/>
              </w:rPr>
              <w:t>.</w:t>
            </w:r>
          </w:p>
          <w:p w:rsidRPr="00C80F70" w:rsidR="00770EBB" w:rsidP="00D36D76" w:rsidRDefault="00770EBB" w14:paraId="3ADE55FA" w14:textId="77777777">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rsidRPr="00C80F70" w:rsidR="00D36D76" w:rsidP="00D36D76" w:rsidRDefault="00D36D76" w14:paraId="7E95272A" w14:textId="77777777">
            <w:pPr>
              <w:numPr>
                <w:ilvl w:val="0"/>
                <w:numId w:val="9"/>
              </w:numPr>
              <w:rPr>
                <w:sz w:val="24"/>
                <w:szCs w:val="24"/>
              </w:rPr>
            </w:pPr>
            <w:r w:rsidRPr="00C80F70">
              <w:rPr>
                <w:sz w:val="24"/>
                <w:szCs w:val="24"/>
              </w:rPr>
              <w:t>Complete the disclosure about links with, or funding from, the tobacco industry.</w:t>
            </w:r>
          </w:p>
          <w:p w:rsidRPr="00C80F70" w:rsidR="004E107E" w:rsidP="00D36D76" w:rsidRDefault="004E107E" w14:paraId="3B0C842C" w14:textId="77777777">
            <w:pPr>
              <w:numPr>
                <w:ilvl w:val="0"/>
                <w:numId w:val="9"/>
              </w:numPr>
              <w:rPr>
                <w:rFonts w:cs="Arial"/>
                <w:sz w:val="24"/>
                <w:szCs w:val="24"/>
              </w:rPr>
            </w:pPr>
            <w:r w:rsidRPr="00C80F70">
              <w:rPr>
                <w:sz w:val="24"/>
                <w:szCs w:val="24"/>
              </w:rPr>
              <w:t xml:space="preserve">Include </w:t>
            </w:r>
            <w:r w:rsidRPr="00C80F70" w:rsidR="00D64CD4">
              <w:rPr>
                <w:b/>
                <w:bCs/>
                <w:sz w:val="24"/>
                <w:szCs w:val="24"/>
              </w:rPr>
              <w:t>document name,</w:t>
            </w:r>
            <w:r w:rsidRPr="00C80F70" w:rsidR="00D64CD4">
              <w:rPr>
                <w:sz w:val="24"/>
                <w:szCs w:val="24"/>
              </w:rPr>
              <w:t xml:space="preserve"> </w:t>
            </w:r>
            <w:r w:rsidRPr="00C80F70">
              <w:rPr>
                <w:b/>
                <w:sz w:val="24"/>
                <w:szCs w:val="24"/>
              </w:rPr>
              <w:t xml:space="preserve">page </w:t>
            </w:r>
            <w:r w:rsidRPr="00C80F70" w:rsidR="00D64CD4">
              <w:rPr>
                <w:b/>
                <w:sz w:val="24"/>
                <w:szCs w:val="24"/>
              </w:rPr>
              <w:t xml:space="preserve">number </w:t>
            </w:r>
            <w:r w:rsidRPr="00C80F70">
              <w:rPr>
                <w:b/>
                <w:sz w:val="24"/>
                <w:szCs w:val="24"/>
              </w:rPr>
              <w:t xml:space="preserve">and line number </w:t>
            </w:r>
            <w:r w:rsidRPr="00C80F70">
              <w:rPr>
                <w:sz w:val="24"/>
                <w:szCs w:val="24"/>
              </w:rPr>
              <w:t>of the text each comment is about.</w:t>
            </w:r>
          </w:p>
          <w:p w:rsidRPr="00C80F70" w:rsidR="003F6C97" w:rsidP="00D36D76" w:rsidRDefault="003F6C97" w14:paraId="6A376705" w14:textId="14A9409A">
            <w:pPr>
              <w:numPr>
                <w:ilvl w:val="0"/>
                <w:numId w:val="9"/>
              </w:numPr>
              <w:rPr>
                <w:rFonts w:cs="Arial"/>
                <w:sz w:val="24"/>
                <w:szCs w:val="24"/>
              </w:rPr>
            </w:pPr>
            <w:r w:rsidRPr="00C80F70">
              <w:rPr>
                <w:rFonts w:cs="Arial"/>
                <w:sz w:val="24"/>
                <w:szCs w:val="24"/>
              </w:rPr>
              <w:t>Combine all comments from your organisation into 1 response</w:t>
            </w:r>
            <w:r w:rsidRPr="00C80F70" w:rsidR="00DF19EC">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rsidRPr="00C80F70" w:rsidR="00344D98" w:rsidP="00D36D76" w:rsidRDefault="00344D98" w14:paraId="6A781F41" w14:textId="77777777">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rsidRPr="00C80F70" w:rsidR="0073545F" w:rsidP="005A431F" w:rsidRDefault="0073545F" w14:paraId="1D53E4CB" w14:textId="77777777">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rsidRPr="00C80F70" w:rsidR="003F6C97" w:rsidP="00D36D76" w:rsidRDefault="006B19C9" w14:paraId="367D13F7" w14:textId="77777777">
            <w:pPr>
              <w:numPr>
                <w:ilvl w:val="0"/>
                <w:numId w:val="9"/>
              </w:numPr>
              <w:rPr>
                <w:rFonts w:cs="Arial"/>
                <w:b/>
                <w:sz w:val="24"/>
                <w:szCs w:val="24"/>
              </w:rPr>
            </w:pPr>
            <w:r w:rsidRPr="00C80F70">
              <w:rPr>
                <w:rFonts w:cs="Arial"/>
                <w:b/>
                <w:sz w:val="24"/>
                <w:szCs w:val="24"/>
              </w:rPr>
              <w:t>Clearly m</w:t>
            </w:r>
            <w:r w:rsidRPr="00C80F70" w:rsidR="00BA3872">
              <w:rPr>
                <w:rFonts w:cs="Arial"/>
                <w:b/>
                <w:sz w:val="24"/>
                <w:szCs w:val="24"/>
              </w:rPr>
              <w:t>ark</w:t>
            </w:r>
            <w:r w:rsidRPr="00C80F70" w:rsidR="003F6C97">
              <w:rPr>
                <w:rFonts w:cs="Arial"/>
                <w:b/>
                <w:sz w:val="24"/>
                <w:szCs w:val="24"/>
              </w:rPr>
              <w:t xml:space="preserve"> any confidential information or other material that you do not wish to be made public</w:t>
            </w:r>
            <w:r w:rsidR="00D60EBE">
              <w:rPr>
                <w:rFonts w:cs="Arial"/>
                <w:b/>
                <w:sz w:val="24"/>
                <w:szCs w:val="24"/>
              </w:rPr>
              <w:t xml:space="preserve"> with </w:t>
            </w:r>
            <w:r w:rsidRPr="00B178A2" w:rsidR="00D60EBE">
              <w:rPr>
                <w:rFonts w:cs="Arial"/>
                <w:b/>
                <w:sz w:val="24"/>
                <w:szCs w:val="24"/>
                <w:highlight w:val="yellow"/>
                <w:u w:val="single"/>
              </w:rPr>
              <w:t>underlining and highlighting</w:t>
            </w:r>
            <w:r w:rsidRPr="00C80F70" w:rsidR="003F6C97">
              <w:rPr>
                <w:rFonts w:cs="Arial"/>
                <w:b/>
                <w:sz w:val="24"/>
                <w:szCs w:val="24"/>
              </w:rPr>
              <w:t xml:space="preserve">. </w:t>
            </w:r>
            <w:r w:rsidRPr="00C80F70" w:rsidR="00AA6E9B">
              <w:rPr>
                <w:rFonts w:cs="Arial"/>
                <w:b/>
                <w:sz w:val="24"/>
                <w:szCs w:val="24"/>
              </w:rPr>
              <w:t>Also, ensure you state in your email to NICE</w:t>
            </w:r>
            <w:r w:rsidR="00095B2D">
              <w:rPr>
                <w:rFonts w:cs="Arial"/>
                <w:b/>
                <w:sz w:val="24"/>
                <w:szCs w:val="24"/>
              </w:rPr>
              <w:t>, and in the row below,</w:t>
            </w:r>
            <w:r w:rsidRPr="00C80F70" w:rsidR="00AA6E9B">
              <w:rPr>
                <w:rFonts w:cs="Arial"/>
                <w:b/>
                <w:sz w:val="24"/>
                <w:szCs w:val="24"/>
              </w:rPr>
              <w:t xml:space="preserve"> that your submission includes confidential comments.</w:t>
            </w:r>
          </w:p>
          <w:p w:rsidRPr="00C80F70" w:rsidR="003F6C97" w:rsidP="00D36D76" w:rsidRDefault="003F6C97" w14:paraId="7773CADC" w14:textId="77777777">
            <w:pPr>
              <w:numPr>
                <w:ilvl w:val="0"/>
                <w:numId w:val="9"/>
              </w:numPr>
              <w:rPr>
                <w:rFonts w:cs="Arial"/>
                <w:sz w:val="24"/>
                <w:szCs w:val="24"/>
              </w:rPr>
            </w:pPr>
            <w:r w:rsidRPr="00C80F70">
              <w:rPr>
                <w:rFonts w:cs="Arial"/>
                <w:b/>
                <w:bCs/>
                <w:sz w:val="24"/>
                <w:szCs w:val="24"/>
              </w:rPr>
              <w:t xml:space="preserve">Do not </w:t>
            </w:r>
            <w:r w:rsidRPr="00C80F70" w:rsidR="00E76FCA">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Pr="00C80F70" w:rsidR="00E76FCA">
              <w:rPr>
                <w:iCs/>
                <w:sz w:val="24"/>
                <w:szCs w:val="24"/>
              </w:rPr>
              <w:t>as all such data will be deleted</w:t>
            </w:r>
            <w:r w:rsidRPr="00C80F70" w:rsidR="00214A02">
              <w:rPr>
                <w:iCs/>
                <w:sz w:val="24"/>
                <w:szCs w:val="24"/>
              </w:rPr>
              <w:t xml:space="preserve"> or redacted</w:t>
            </w:r>
            <w:r w:rsidRPr="00C80F70" w:rsidR="00E76FCA">
              <w:rPr>
                <w:iCs/>
                <w:sz w:val="24"/>
                <w:szCs w:val="24"/>
              </w:rPr>
              <w:t>.</w:t>
            </w:r>
          </w:p>
          <w:p w:rsidRPr="008A3E36" w:rsidR="003F6C97" w:rsidP="008A3E36" w:rsidRDefault="003F6C97" w14:paraId="49E26C79" w14:textId="1F517548">
            <w:pPr>
              <w:numPr>
                <w:ilvl w:val="0"/>
                <w:numId w:val="9"/>
              </w:numPr>
              <w:rPr>
                <w:rFonts w:cs="Arial"/>
                <w:sz w:val="24"/>
                <w:szCs w:val="24"/>
              </w:rPr>
            </w:pPr>
            <w:r w:rsidRPr="00C80F70">
              <w:rPr>
                <w:rFonts w:cs="Arial"/>
                <w:sz w:val="24"/>
                <w:szCs w:val="24"/>
              </w:rPr>
              <w:t>Spell out any abbreviations you use</w:t>
            </w:r>
            <w:r w:rsidRPr="00C80F70" w:rsidR="00B75064">
              <w:rPr>
                <w:rFonts w:cs="Arial"/>
                <w:sz w:val="24"/>
                <w:szCs w:val="24"/>
              </w:rPr>
              <w:t>.</w:t>
            </w:r>
          </w:p>
          <w:p w:rsidRPr="00D062E4" w:rsidR="007372A4" w:rsidP="00D36D76" w:rsidRDefault="007372A4" w14:paraId="0E68333B" w14:textId="77777777">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Pr="00D062E4" w:rsidR="004D0289">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rsidRPr="00C80F70" w:rsidR="009244E9" w:rsidP="00D36D76" w:rsidRDefault="009244E9" w14:paraId="4E8206AB" w14:textId="77777777">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rsidRPr="00C80F70" w:rsidR="00451953" w:rsidP="00451953" w:rsidRDefault="00451953" w14:paraId="6D46BCB6" w14:textId="77777777">
            <w:pPr>
              <w:rPr>
                <w:sz w:val="24"/>
                <w:szCs w:val="24"/>
              </w:rPr>
            </w:pPr>
          </w:p>
          <w:p w:rsidRPr="00C80F70" w:rsidR="000C30A4" w:rsidP="000C30A4" w:rsidRDefault="000C30A4" w14:paraId="4DC29637" w14:textId="77777777">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rsidRPr="00C80F70" w:rsidR="005F2CB3" w:rsidP="006B19C9" w:rsidRDefault="000C30A4" w14:paraId="3D099ED0" w14:textId="77777777">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P="00FC2698" w:rsidRDefault="00B81DC8" w14:paraId="68A6DBA2" w14:textId="77777777">
      <w:pPr>
        <w:rPr>
          <w:rFont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3"/>
        <w:gridCol w:w="12495"/>
      </w:tblGrid>
      <w:tr w:rsidRPr="006B094C" w:rsidR="00661D47" w:rsidTr="005A0087" w14:paraId="43D2A862" w14:textId="77777777">
        <w:trPr>
          <w:cantSplit/>
        </w:trPr>
        <w:tc>
          <w:tcPr>
            <w:tcW w:w="908" w:type="pct"/>
            <w:shd w:val="clear" w:color="auto" w:fill="FFFFFF"/>
          </w:tcPr>
          <w:p w:rsidRPr="006B094C" w:rsidR="00661D47" w:rsidP="00533D9C" w:rsidRDefault="00661D47" w14:paraId="6444D108" w14:textId="77777777">
            <w:pPr>
              <w:rPr>
                <w:rFonts w:cs="Arial"/>
                <w:b/>
                <w:szCs w:val="22"/>
              </w:rPr>
            </w:pPr>
          </w:p>
        </w:tc>
        <w:tc>
          <w:tcPr>
            <w:tcW w:w="4092" w:type="pct"/>
            <w:shd w:val="clear" w:color="auto" w:fill="FFFFFF"/>
          </w:tcPr>
          <w:p w:rsidRPr="00001447" w:rsidR="00661D47" w:rsidP="00533D9C" w:rsidRDefault="00661D47" w14:paraId="3F14116C" w14:textId="77777777">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rsidRPr="006B094C" w:rsidR="00661D47" w:rsidP="00533D9C" w:rsidRDefault="00661D47" w14:paraId="7FED3D30" w14:textId="77777777">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rsidRPr="006B094C" w:rsidR="00661D47" w:rsidP="00533D9C" w:rsidRDefault="00661D47" w14:paraId="4B515C4A" w14:textId="77777777">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Pr="008452A2" w:rsidR="00300F0E">
              <w:rPr>
                <w:rFonts w:cs="Arial"/>
                <w:b/>
                <w:bCs/>
                <w:szCs w:val="22"/>
              </w:rPr>
              <w:t xml:space="preserve">Please include your answers </w:t>
            </w:r>
            <w:r w:rsidR="00451B16">
              <w:rPr>
                <w:rFonts w:cs="Arial"/>
                <w:b/>
                <w:bCs/>
                <w:szCs w:val="22"/>
              </w:rPr>
              <w:t xml:space="preserve">to these questions </w:t>
            </w:r>
            <w:r w:rsidRPr="008452A2" w:rsidR="00300F0E">
              <w:rPr>
                <w:rFonts w:cs="Arial"/>
                <w:b/>
                <w:bCs/>
                <w:szCs w:val="22"/>
              </w:rPr>
              <w:t>with your comments in the table below.</w:t>
            </w:r>
          </w:p>
          <w:p w:rsidRPr="006B094C" w:rsidR="00661D47" w:rsidP="004C7583" w:rsidRDefault="005D2219" w14:paraId="0B4E547C" w14:textId="77777777">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rsidRPr="006B094C" w:rsidR="00661D47" w:rsidP="004C7583" w:rsidRDefault="00661D47" w14:paraId="570BC51B" w14:textId="77777777">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rsidR="00D062E4" w:rsidP="00A47837" w:rsidRDefault="00D062E4" w14:paraId="74D61CE8" w14:textId="77777777">
            <w:pPr>
              <w:pStyle w:val="Paragraphnonumbers"/>
              <w:spacing w:after="0"/>
              <w:ind w:left="360"/>
              <w:rPr>
                <w:rFonts w:cs="Arial"/>
                <w:bCs/>
                <w:sz w:val="22"/>
                <w:szCs w:val="22"/>
              </w:rPr>
            </w:pPr>
          </w:p>
          <w:p w:rsidRPr="00D062E4" w:rsidR="00D062E4" w:rsidP="00D062E4" w:rsidRDefault="00D062E4" w14:paraId="551FE64B" w14:textId="77777777">
            <w:pPr>
              <w:pStyle w:val="Paragraphnonumbers"/>
              <w:spacing w:after="0"/>
              <w:rPr>
                <w:rFonts w:cs="Arial"/>
                <w:bCs/>
                <w:sz w:val="22"/>
                <w:szCs w:val="22"/>
              </w:rPr>
            </w:pPr>
            <w:r>
              <w:t xml:space="preserve">See </w:t>
            </w:r>
            <w:hyperlink w:history="1" r:id="rId11">
              <w:hyperlink w:history="1" r:id="rId12">
                <w:r>
                  <w:rPr>
                    <w:rStyle w:val="Hyperlink"/>
                  </w:rPr>
                  <w:t>Developing NICE guidance: how to get involved</w:t>
                </w:r>
              </w:hyperlink>
            </w:hyperlink>
            <w:r>
              <w:t xml:space="preserve"> for suggestions of general points to think about when commenting.</w:t>
            </w:r>
          </w:p>
        </w:tc>
      </w:tr>
      <w:tr w:rsidRPr="006B094C" w:rsidR="00661D47" w:rsidTr="005A0087" w14:paraId="211DF3E6" w14:textId="77777777">
        <w:trPr>
          <w:cantSplit/>
        </w:trPr>
        <w:tc>
          <w:tcPr>
            <w:tcW w:w="908" w:type="pct"/>
            <w:shd w:val="clear" w:color="auto" w:fill="FFFFFF"/>
          </w:tcPr>
          <w:p w:rsidR="00661D47" w:rsidP="00533D9C" w:rsidRDefault="00661D47" w14:paraId="039288FA" w14:textId="77777777">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Pr="006B094C" w:rsidR="00C35945">
              <w:rPr>
                <w:rFonts w:cs="Arial"/>
                <w:b w:val="0"/>
                <w:sz w:val="18"/>
                <w:szCs w:val="18"/>
              </w:rPr>
              <w:t>.</w:t>
            </w:r>
          </w:p>
          <w:p w:rsidRPr="006B094C" w:rsidR="006B2E9B" w:rsidP="00533D9C" w:rsidRDefault="006B2E9B" w14:paraId="279D9C57" w14:textId="77777777">
            <w:pPr>
              <w:pStyle w:val="BodyText"/>
              <w:rPr>
                <w:rFonts w:cs="Arial"/>
                <w:szCs w:val="22"/>
              </w:rPr>
            </w:pPr>
          </w:p>
        </w:tc>
        <w:tc>
          <w:tcPr>
            <w:tcW w:w="4092" w:type="pct"/>
            <w:shd w:val="clear" w:color="auto" w:fill="FFFFFF"/>
          </w:tcPr>
          <w:p w:rsidRPr="006B094C" w:rsidR="00661D47" w:rsidP="00533D9C" w:rsidRDefault="0008251D" w14:paraId="64836DF3" w14:textId="0818BAD9">
            <w:pPr>
              <w:spacing w:before="240"/>
              <w:rPr>
                <w:rFonts w:cs="Arial"/>
                <w:szCs w:val="22"/>
              </w:rPr>
            </w:pPr>
            <w:r>
              <w:rPr>
                <w:rFonts w:cs="Arial"/>
                <w:szCs w:val="22"/>
              </w:rPr>
              <w:t>Royal Pharmaceutical Society</w:t>
            </w:r>
          </w:p>
        </w:tc>
      </w:tr>
      <w:tr w:rsidRPr="006B094C" w:rsidR="00661D47" w:rsidTr="005A0087" w14:paraId="0F6CA65E" w14:textId="77777777">
        <w:trPr>
          <w:cantSplit/>
        </w:trPr>
        <w:tc>
          <w:tcPr>
            <w:tcW w:w="908" w:type="pct"/>
            <w:shd w:val="clear" w:color="auto" w:fill="FFFFFF"/>
          </w:tcPr>
          <w:p w:rsidR="00661D47" w:rsidP="00533D9C" w:rsidRDefault="00661D47" w14:paraId="15227242" w14:textId="77777777">
            <w:pPr>
              <w:pStyle w:val="BodyText"/>
              <w:rPr>
                <w:rFonts w:cs="Arial"/>
                <w:b w:val="0"/>
                <w:sz w:val="18"/>
                <w:szCs w:val="18"/>
              </w:rPr>
            </w:pPr>
            <w:r w:rsidRPr="006B094C">
              <w:rPr>
                <w:rFonts w:cs="Arial"/>
                <w:szCs w:val="22"/>
              </w:rPr>
              <w:t>Disclosure</w:t>
            </w:r>
            <w:r w:rsidRPr="006B094C" w:rsidR="00C35945">
              <w:rPr>
                <w:rFonts w:cs="Arial"/>
                <w:szCs w:val="22"/>
              </w:rPr>
              <w:t xml:space="preserve"> </w:t>
            </w:r>
            <w:r w:rsidRPr="006B094C" w:rsidR="00C35945">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Pr="006B094C" w:rsidR="00C35945">
              <w:rPr>
                <w:rFonts w:cs="Arial"/>
                <w:b w:val="0"/>
                <w:sz w:val="18"/>
                <w:szCs w:val="18"/>
              </w:rPr>
              <w:t>).</w:t>
            </w:r>
          </w:p>
          <w:p w:rsidRPr="006B094C" w:rsidR="006B2E9B" w:rsidP="00533D9C" w:rsidRDefault="006B2E9B" w14:paraId="65860E30" w14:textId="77777777">
            <w:pPr>
              <w:pStyle w:val="BodyText"/>
              <w:rPr>
                <w:rFonts w:cs="Arial"/>
                <w:szCs w:val="22"/>
              </w:rPr>
            </w:pPr>
          </w:p>
        </w:tc>
        <w:tc>
          <w:tcPr>
            <w:tcW w:w="4092" w:type="pct"/>
            <w:shd w:val="clear" w:color="auto" w:fill="FFFFFF"/>
          </w:tcPr>
          <w:p w:rsidRPr="006B094C" w:rsidR="00661D47" w:rsidP="00533D9C" w:rsidRDefault="00661D47" w14:paraId="62DB3AD3" w14:textId="37C4C86F">
            <w:pPr>
              <w:spacing w:before="240"/>
              <w:rPr>
                <w:rFonts w:cs="Arial"/>
                <w:b/>
                <w:szCs w:val="22"/>
                <w:highlight w:val="lightGray"/>
                <w:u w:val="single"/>
              </w:rPr>
            </w:pPr>
          </w:p>
        </w:tc>
      </w:tr>
      <w:tr w:rsidRPr="006B094C" w:rsidR="00E63822" w:rsidTr="005A0087" w14:paraId="483CEB7D" w14:textId="77777777">
        <w:trPr>
          <w:cantSplit/>
        </w:trPr>
        <w:tc>
          <w:tcPr>
            <w:tcW w:w="908" w:type="pct"/>
            <w:shd w:val="clear" w:color="auto" w:fill="FFFFFF"/>
          </w:tcPr>
          <w:p w:rsidRPr="009F3153" w:rsidR="00E63822" w:rsidP="00533D9C" w:rsidRDefault="00E63822" w14:paraId="56372556" w14:textId="77777777">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rsidRPr="006B094C" w:rsidR="00E63822" w:rsidP="00533D9C" w:rsidRDefault="009F3153" w14:paraId="1CA02F22" w14:textId="52A26DFC">
            <w:pPr>
              <w:spacing w:before="240"/>
              <w:rPr>
                <w:rFonts w:cs="Arial"/>
                <w:szCs w:val="22"/>
              </w:rPr>
            </w:pPr>
            <w:r>
              <w:rPr>
                <w:rFonts w:cs="Arial"/>
                <w:szCs w:val="22"/>
              </w:rPr>
              <w:t xml:space="preserve">No </w:t>
            </w:r>
          </w:p>
        </w:tc>
      </w:tr>
      <w:tr w:rsidRPr="006B094C" w:rsidR="00661D47" w:rsidTr="005A0087" w14:paraId="2A5AFE8A" w14:textId="77777777">
        <w:trPr>
          <w:cantSplit/>
        </w:trPr>
        <w:tc>
          <w:tcPr>
            <w:tcW w:w="908" w:type="pct"/>
            <w:shd w:val="clear" w:color="auto" w:fill="FFFFFF"/>
          </w:tcPr>
          <w:p w:rsidR="00661D47" w:rsidP="00533D9C" w:rsidRDefault="00661D47" w14:paraId="642306D4" w14:textId="77777777">
            <w:pPr>
              <w:pStyle w:val="BodyText"/>
              <w:rPr>
                <w:rFonts w:cs="Arial"/>
                <w:szCs w:val="22"/>
              </w:rPr>
            </w:pPr>
            <w:r w:rsidRPr="006B094C">
              <w:rPr>
                <w:rFonts w:cs="Arial"/>
                <w:szCs w:val="22"/>
              </w:rPr>
              <w:t>Name of person completing form</w:t>
            </w:r>
          </w:p>
          <w:p w:rsidR="006B2E9B" w:rsidP="00533D9C" w:rsidRDefault="006B2E9B" w14:paraId="2EC9ECDA" w14:textId="77777777">
            <w:pPr>
              <w:pStyle w:val="BodyText"/>
              <w:rPr>
                <w:rFonts w:cs="Arial"/>
                <w:szCs w:val="22"/>
              </w:rPr>
            </w:pPr>
          </w:p>
          <w:p w:rsidRPr="006B094C" w:rsidR="006B2E9B" w:rsidP="00533D9C" w:rsidRDefault="006B2E9B" w14:paraId="13902803" w14:textId="77777777">
            <w:pPr>
              <w:pStyle w:val="BodyText"/>
              <w:rPr>
                <w:rFonts w:cs="Arial"/>
                <w:szCs w:val="22"/>
              </w:rPr>
            </w:pPr>
          </w:p>
        </w:tc>
        <w:tc>
          <w:tcPr>
            <w:tcW w:w="4092" w:type="pct"/>
            <w:shd w:val="clear" w:color="auto" w:fill="FFFFFF"/>
          </w:tcPr>
          <w:p w:rsidR="00396BDE" w:rsidP="00533D9C" w:rsidRDefault="00396BDE" w14:paraId="1C5BB324" w14:textId="77777777">
            <w:pPr>
              <w:rPr>
                <w:rFonts w:cs="Arial"/>
                <w:szCs w:val="22"/>
              </w:rPr>
            </w:pPr>
          </w:p>
          <w:p w:rsidR="00661D47" w:rsidP="00533D9C" w:rsidRDefault="0008251D" w14:paraId="04F41A76" w14:textId="0D4E4BEB">
            <w:pPr>
              <w:rPr>
                <w:rFonts w:cs="Arial"/>
                <w:szCs w:val="22"/>
              </w:rPr>
            </w:pPr>
            <w:r>
              <w:rPr>
                <w:rFonts w:cs="Arial"/>
                <w:szCs w:val="22"/>
              </w:rPr>
              <w:t>Heidi Wright</w:t>
            </w:r>
          </w:p>
          <w:p w:rsidR="00396BDE" w:rsidP="00533D9C" w:rsidRDefault="00396BDE" w14:paraId="23A7E50E" w14:textId="77777777">
            <w:pPr>
              <w:rPr>
                <w:rFonts w:cs="Arial"/>
                <w:szCs w:val="22"/>
              </w:rPr>
            </w:pPr>
          </w:p>
          <w:p w:rsidR="005A0087" w:rsidP="00533D9C" w:rsidRDefault="005A0087" w14:paraId="7B0B08CC" w14:textId="77777777">
            <w:pPr>
              <w:rPr>
                <w:rFonts w:cs="Arial"/>
                <w:szCs w:val="22"/>
              </w:rPr>
            </w:pPr>
          </w:p>
          <w:p w:rsidRPr="006B094C" w:rsidR="005A0087" w:rsidP="00533D9C" w:rsidRDefault="005A0087" w14:paraId="715D7B95" w14:textId="77777777">
            <w:pPr>
              <w:rPr>
                <w:rFonts w:cs="Arial"/>
                <w:szCs w:val="22"/>
              </w:rPr>
            </w:pPr>
          </w:p>
        </w:tc>
      </w:tr>
    </w:tbl>
    <w:p w:rsidR="005A0087" w:rsidRDefault="005A0087" w14:paraId="7FE3ADE6"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13"/>
        <w:gridCol w:w="1359"/>
        <w:gridCol w:w="1066"/>
        <w:gridCol w:w="1170"/>
        <w:gridCol w:w="10260"/>
      </w:tblGrid>
      <w:tr w:rsidRPr="006B094C" w:rsidR="0013151B" w:rsidTr="6DCA2040" w14:paraId="7493E004" w14:textId="77777777">
        <w:tc>
          <w:tcPr>
            <w:tcW w:w="463" w:type="pct"/>
            <w:shd w:val="clear" w:color="auto" w:fill="E6E6E6"/>
            <w:tcMar/>
          </w:tcPr>
          <w:p w:rsidRPr="006B094C" w:rsidR="00661D47" w:rsidP="009228A1" w:rsidRDefault="00661D47" w14:paraId="5C93527B" w14:textId="77777777">
            <w:pPr>
              <w:rPr>
                <w:rFonts w:cs="Arial"/>
                <w:b/>
                <w:szCs w:val="22"/>
              </w:rPr>
            </w:pPr>
            <w:r w:rsidRPr="006B094C">
              <w:rPr>
                <w:rFonts w:cs="Arial"/>
                <w:b/>
                <w:szCs w:val="22"/>
              </w:rPr>
              <w:lastRenderedPageBreak/>
              <w:t>Comment number</w:t>
            </w:r>
          </w:p>
          <w:p w:rsidRPr="006B094C" w:rsidR="00661D47" w:rsidP="00533D9C" w:rsidRDefault="00661D47" w14:paraId="1AD01154" w14:textId="77777777">
            <w:pPr>
              <w:jc w:val="center"/>
              <w:rPr>
                <w:rFonts w:cs="Arial"/>
                <w:i/>
                <w:szCs w:val="22"/>
              </w:rPr>
            </w:pPr>
          </w:p>
        </w:tc>
        <w:tc>
          <w:tcPr>
            <w:tcW w:w="445" w:type="pct"/>
            <w:shd w:val="clear" w:color="auto" w:fill="E6E6E6"/>
            <w:tcMar/>
          </w:tcPr>
          <w:p w:rsidRPr="006B094C" w:rsidR="00661D47" w:rsidP="009228A1" w:rsidRDefault="00661D47" w14:paraId="3B35726C" w14:textId="77777777">
            <w:pPr>
              <w:rPr>
                <w:rFonts w:cs="Arial"/>
                <w:szCs w:val="22"/>
              </w:rPr>
            </w:pPr>
            <w:r w:rsidRPr="006B094C">
              <w:rPr>
                <w:rFonts w:cs="Arial"/>
                <w:b/>
                <w:szCs w:val="22"/>
              </w:rPr>
              <w:t>Document</w:t>
            </w:r>
          </w:p>
          <w:p w:rsidRPr="006B094C" w:rsidR="00661D47" w:rsidP="009228A1" w:rsidRDefault="00661D47" w14:paraId="0C7367D6" w14:textId="77777777">
            <w:pPr>
              <w:rPr>
                <w:rFonts w:cs="Arial"/>
                <w:bCs/>
                <w:sz w:val="18"/>
                <w:szCs w:val="18"/>
              </w:rPr>
            </w:pPr>
            <w:r w:rsidRPr="006B094C">
              <w:rPr>
                <w:rFonts w:cs="Arial"/>
                <w:bCs/>
                <w:sz w:val="18"/>
                <w:szCs w:val="18"/>
              </w:rPr>
              <w:t>[</w:t>
            </w:r>
            <w:proofErr w:type="gramStart"/>
            <w:r w:rsidRPr="006B094C" w:rsidR="009228A1">
              <w:rPr>
                <w:rFonts w:cs="Arial"/>
                <w:bCs/>
                <w:sz w:val="18"/>
                <w:szCs w:val="18"/>
              </w:rPr>
              <w:t>e.g.</w:t>
            </w:r>
            <w:proofErr w:type="gramEnd"/>
            <w:r w:rsidRPr="006B094C" w:rsidR="009228A1">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Pr="006B094C" w:rsidR="009228A1">
              <w:rPr>
                <w:rFonts w:cs="Arial"/>
                <w:bCs/>
                <w:sz w:val="18"/>
                <w:szCs w:val="18"/>
              </w:rPr>
              <w:t>]</w:t>
            </w:r>
          </w:p>
        </w:tc>
        <w:tc>
          <w:tcPr>
            <w:tcW w:w="349" w:type="pct"/>
            <w:shd w:val="clear" w:color="auto" w:fill="E6E6E6"/>
            <w:tcMar/>
          </w:tcPr>
          <w:p w:rsidRPr="006B094C" w:rsidR="00661D47" w:rsidP="009228A1" w:rsidRDefault="00661D47" w14:paraId="426344F9" w14:textId="77777777">
            <w:pPr>
              <w:pStyle w:val="BodyText"/>
              <w:rPr>
                <w:rFonts w:cs="Arial"/>
                <w:szCs w:val="22"/>
              </w:rPr>
            </w:pPr>
            <w:r w:rsidRPr="006B094C">
              <w:rPr>
                <w:rFonts w:cs="Arial"/>
                <w:szCs w:val="22"/>
              </w:rPr>
              <w:t>Page number</w:t>
            </w:r>
          </w:p>
          <w:p w:rsidRPr="006B094C" w:rsidR="00661D47" w:rsidP="009228A1" w:rsidRDefault="00661D47" w14:paraId="7559E230" w14:textId="77777777">
            <w:pPr>
              <w:rPr>
                <w:rFonts w:cs="Arial"/>
                <w:sz w:val="18"/>
                <w:szCs w:val="18"/>
              </w:rPr>
            </w:pPr>
            <w:r w:rsidRPr="006B094C">
              <w:rPr>
                <w:rFonts w:cs="Arial"/>
                <w:b/>
                <w:sz w:val="18"/>
                <w:szCs w:val="18"/>
              </w:rPr>
              <w:t>‘</w:t>
            </w:r>
            <w:r w:rsidRPr="006B094C" w:rsidR="00812077">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Mar/>
          </w:tcPr>
          <w:p w:rsidRPr="006B094C" w:rsidR="00661D47" w:rsidP="009228A1" w:rsidRDefault="00661D47" w14:paraId="1447548F" w14:textId="77777777">
            <w:pPr>
              <w:pStyle w:val="BodyText"/>
              <w:rPr>
                <w:rFonts w:cs="Arial"/>
                <w:szCs w:val="22"/>
              </w:rPr>
            </w:pPr>
            <w:r w:rsidRPr="006B094C">
              <w:rPr>
                <w:rFonts w:cs="Arial"/>
                <w:szCs w:val="22"/>
              </w:rPr>
              <w:t>Line number</w:t>
            </w:r>
          </w:p>
          <w:p w:rsidRPr="006B094C" w:rsidR="00661D47" w:rsidP="009228A1" w:rsidRDefault="00812077" w14:paraId="0F83B503" w14:textId="77777777">
            <w:pPr>
              <w:rPr>
                <w:rFonts w:cs="Arial"/>
                <w:sz w:val="18"/>
                <w:szCs w:val="18"/>
              </w:rPr>
            </w:pPr>
            <w:r w:rsidRPr="006B094C">
              <w:rPr>
                <w:rFonts w:cs="Arial"/>
                <w:b/>
                <w:sz w:val="18"/>
                <w:szCs w:val="18"/>
              </w:rPr>
              <w:t>‘G</w:t>
            </w:r>
            <w:r w:rsidRPr="006B094C" w:rsidR="00661D47">
              <w:rPr>
                <w:rFonts w:cs="Arial"/>
                <w:b/>
                <w:sz w:val="18"/>
                <w:szCs w:val="18"/>
              </w:rPr>
              <w:t>eneral’</w:t>
            </w:r>
            <w:r w:rsidRPr="006B094C" w:rsidR="00661D47">
              <w:rPr>
                <w:rFonts w:cs="Arial"/>
                <w:sz w:val="18"/>
                <w:szCs w:val="18"/>
              </w:rPr>
              <w:t xml:space="preserve"> for comments on whole document</w:t>
            </w:r>
          </w:p>
        </w:tc>
        <w:tc>
          <w:tcPr>
            <w:tcW w:w="3360" w:type="pct"/>
            <w:shd w:val="clear" w:color="auto" w:fill="E6E6E6"/>
            <w:tcMar/>
          </w:tcPr>
          <w:p w:rsidRPr="006B094C" w:rsidR="00661D47" w:rsidP="009228A1" w:rsidRDefault="00661D47" w14:paraId="4AC3FD5F" w14:textId="77777777">
            <w:pPr>
              <w:pStyle w:val="Heading1"/>
              <w:rPr>
                <w:rFonts w:cs="Arial"/>
                <w:szCs w:val="22"/>
              </w:rPr>
            </w:pPr>
            <w:r w:rsidRPr="006B094C">
              <w:rPr>
                <w:rFonts w:cs="Arial"/>
                <w:szCs w:val="22"/>
              </w:rPr>
              <w:t>Comments</w:t>
            </w:r>
          </w:p>
          <w:p w:rsidRPr="006B094C" w:rsidR="00661D47" w:rsidP="006B094C" w:rsidRDefault="00661D47" w14:paraId="5BDBF1B6" w14:textId="77777777">
            <w:pPr>
              <w:pStyle w:val="ListParagraph"/>
              <w:numPr>
                <w:ilvl w:val="0"/>
                <w:numId w:val="12"/>
              </w:numPr>
              <w:rPr>
                <w:rFonts w:cs="Arial"/>
                <w:sz w:val="18"/>
                <w:szCs w:val="18"/>
              </w:rPr>
            </w:pPr>
            <w:r w:rsidRPr="006B094C">
              <w:rPr>
                <w:rFonts w:cs="Arial"/>
                <w:sz w:val="18"/>
                <w:szCs w:val="18"/>
              </w:rPr>
              <w:t>Insert each comment in a new row.</w:t>
            </w:r>
          </w:p>
          <w:p w:rsidRPr="006B094C" w:rsidR="00661D47" w:rsidP="006B094C" w:rsidRDefault="00661D47" w14:paraId="1FD4C8E8" w14:textId="77777777">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rsidRPr="006B094C" w:rsidR="00812077" w:rsidP="006B094C" w:rsidRDefault="00812077" w14:paraId="412C3470" w14:textId="77777777">
            <w:pPr>
              <w:pStyle w:val="ListParagraph"/>
              <w:numPr>
                <w:ilvl w:val="0"/>
                <w:numId w:val="12"/>
              </w:numPr>
              <w:rPr>
                <w:rFonts w:cs="Arial"/>
                <w:sz w:val="18"/>
                <w:szCs w:val="18"/>
              </w:rPr>
            </w:pPr>
            <w:r w:rsidRPr="006B094C">
              <w:rPr>
                <w:rFonts w:cs="Arial"/>
                <w:sz w:val="18"/>
                <w:szCs w:val="18"/>
              </w:rPr>
              <w:t>Include section or recommendation number in this column.</w:t>
            </w:r>
          </w:p>
          <w:p w:rsidRPr="006B094C" w:rsidR="00661D47" w:rsidP="00533D9C" w:rsidRDefault="00661D47" w14:paraId="57E48374" w14:textId="77777777">
            <w:pPr>
              <w:jc w:val="center"/>
              <w:rPr>
                <w:rFonts w:cs="Arial"/>
                <w:b/>
                <w:szCs w:val="22"/>
              </w:rPr>
            </w:pPr>
          </w:p>
        </w:tc>
      </w:tr>
      <w:tr w:rsidRPr="006B094C" w:rsidR="004302A7" w:rsidTr="6DCA2040" w14:paraId="1C3ED0FB" w14:textId="77777777">
        <w:tc>
          <w:tcPr>
            <w:tcW w:w="463" w:type="pct"/>
            <w:tcMar/>
          </w:tcPr>
          <w:p w:rsidRPr="006B094C" w:rsidR="00661D47" w:rsidP="00533D9C" w:rsidRDefault="00661D47" w14:paraId="190FBEC4" w14:textId="77777777">
            <w:pPr>
              <w:rPr>
                <w:rFonts w:cs="Arial"/>
                <w:szCs w:val="22"/>
              </w:rPr>
            </w:pPr>
            <w:r w:rsidRPr="006B094C">
              <w:rPr>
                <w:rFonts w:cs="Arial"/>
                <w:szCs w:val="22"/>
              </w:rPr>
              <w:t>1</w:t>
            </w:r>
          </w:p>
        </w:tc>
        <w:tc>
          <w:tcPr>
            <w:tcW w:w="445" w:type="pct"/>
            <w:tcMar/>
          </w:tcPr>
          <w:p w:rsidRPr="006B094C" w:rsidR="00661D47" w:rsidP="00533D9C" w:rsidRDefault="0008251D" w14:paraId="0C162891" w14:textId="27F7432A">
            <w:pPr>
              <w:rPr>
                <w:rFonts w:cs="Arial"/>
                <w:szCs w:val="22"/>
              </w:rPr>
            </w:pPr>
            <w:r>
              <w:rPr>
                <w:rFonts w:cs="Arial"/>
                <w:szCs w:val="22"/>
              </w:rPr>
              <w:t>Guideline</w:t>
            </w:r>
          </w:p>
        </w:tc>
        <w:tc>
          <w:tcPr>
            <w:tcW w:w="349" w:type="pct"/>
            <w:tcMar/>
          </w:tcPr>
          <w:p w:rsidRPr="006B094C" w:rsidR="00661D47" w:rsidP="00533D9C" w:rsidRDefault="0008251D" w14:paraId="491F0177" w14:textId="7EE87B06">
            <w:pPr>
              <w:rPr>
                <w:rFonts w:cs="Arial"/>
                <w:szCs w:val="22"/>
              </w:rPr>
            </w:pPr>
            <w:r>
              <w:rPr>
                <w:rFonts w:cs="Arial"/>
                <w:szCs w:val="22"/>
              </w:rPr>
              <w:t>General</w:t>
            </w:r>
          </w:p>
        </w:tc>
        <w:tc>
          <w:tcPr>
            <w:tcW w:w="383" w:type="pct"/>
            <w:tcMar/>
          </w:tcPr>
          <w:p w:rsidRPr="006B094C" w:rsidR="00661D47" w:rsidP="00533D9C" w:rsidRDefault="0008251D" w14:paraId="45881450" w14:textId="37CE4F43">
            <w:pPr>
              <w:rPr>
                <w:rFonts w:cs="Arial"/>
                <w:szCs w:val="22"/>
              </w:rPr>
            </w:pPr>
            <w:r w:rsidRPr="0008251D">
              <w:rPr>
                <w:rFonts w:cs="Arial"/>
                <w:szCs w:val="22"/>
              </w:rPr>
              <w:t>General</w:t>
            </w:r>
          </w:p>
        </w:tc>
        <w:tc>
          <w:tcPr>
            <w:tcW w:w="3360" w:type="pct"/>
            <w:tcMar/>
          </w:tcPr>
          <w:p w:rsidR="00661D47" w:rsidP="69971DF6" w:rsidRDefault="0008251D" w14:paraId="0534D4D0" w14:textId="14B21D65">
            <w:pPr>
              <w:rPr>
                <w:rFonts w:cs="Arial"/>
              </w:rPr>
            </w:pPr>
            <w:r w:rsidRPr="69971DF6" w:rsidR="69971DF6">
              <w:rPr>
                <w:rFonts w:cs="Arial"/>
              </w:rPr>
              <w:t xml:space="preserve">We welcome the updating of the 2015 guidance. Individualising care for people experiencing menopausal symptoms and explaining all available treatment options is essential and we are pleased to see this emphasised in the </w:t>
            </w:r>
            <w:r w:rsidRPr="69971DF6" w:rsidR="69971DF6">
              <w:rPr>
                <w:rFonts w:cs="Arial"/>
              </w:rPr>
              <w:t>guidelines. The</w:t>
            </w:r>
            <w:r w:rsidRPr="69971DF6" w:rsidR="69971DF6">
              <w:rPr>
                <w:rFonts w:cs="Arial"/>
              </w:rPr>
              <w:t xml:space="preserve"> guidance demonstrates a growing recognition of the complexities and unique challenges faced by women during menopause. The inclusion of comprehensive, evidence-based recommendations in this guideline reflects a commendable effort to improve the quality of care for women experiencing menopausal symptoms</w:t>
            </w:r>
          </w:p>
          <w:p w:rsidRPr="006B094C" w:rsidR="0008251D" w:rsidP="00533D9C" w:rsidRDefault="0008251D" w14:paraId="108011FD" w14:textId="49AC86EC">
            <w:pPr>
              <w:rPr>
                <w:rFonts w:cs="Arial"/>
                <w:szCs w:val="22"/>
              </w:rPr>
            </w:pPr>
          </w:p>
        </w:tc>
      </w:tr>
      <w:tr w:rsidRPr="006B094C" w:rsidR="004302A7" w:rsidTr="6DCA2040" w14:paraId="4AF64982" w14:textId="77777777">
        <w:tc>
          <w:tcPr>
            <w:tcW w:w="463" w:type="pct"/>
            <w:tcMar/>
          </w:tcPr>
          <w:p w:rsidRPr="006B094C" w:rsidR="00661D47" w:rsidP="00533D9C" w:rsidRDefault="00661D47" w14:paraId="30E3FE42" w14:textId="77777777">
            <w:pPr>
              <w:rPr>
                <w:rFonts w:cs="Arial"/>
                <w:szCs w:val="22"/>
              </w:rPr>
            </w:pPr>
            <w:r w:rsidRPr="006B094C">
              <w:rPr>
                <w:rFonts w:cs="Arial"/>
                <w:szCs w:val="22"/>
              </w:rPr>
              <w:t>2</w:t>
            </w:r>
          </w:p>
        </w:tc>
        <w:tc>
          <w:tcPr>
            <w:tcW w:w="445" w:type="pct"/>
            <w:tcMar/>
          </w:tcPr>
          <w:p w:rsidRPr="006B094C" w:rsidR="00661D47" w:rsidP="00533D9C" w:rsidRDefault="0008251D" w14:paraId="359DF1FC" w14:textId="756486D3">
            <w:pPr>
              <w:rPr>
                <w:rFonts w:cs="Arial"/>
                <w:szCs w:val="22"/>
              </w:rPr>
            </w:pPr>
            <w:r>
              <w:rPr>
                <w:rFonts w:cs="Arial"/>
                <w:szCs w:val="22"/>
              </w:rPr>
              <w:t>Guideline</w:t>
            </w:r>
          </w:p>
        </w:tc>
        <w:tc>
          <w:tcPr>
            <w:tcW w:w="349" w:type="pct"/>
            <w:tcMar/>
          </w:tcPr>
          <w:p w:rsidRPr="006B094C" w:rsidR="00661D47" w:rsidP="00533D9C" w:rsidRDefault="0008251D" w14:paraId="07591962" w14:textId="604364F2">
            <w:pPr>
              <w:rPr>
                <w:rFonts w:cs="Arial"/>
                <w:szCs w:val="22"/>
              </w:rPr>
            </w:pPr>
            <w:r w:rsidRPr="0008251D">
              <w:rPr>
                <w:rFonts w:cs="Arial"/>
                <w:szCs w:val="22"/>
              </w:rPr>
              <w:t>General</w:t>
            </w:r>
          </w:p>
        </w:tc>
        <w:tc>
          <w:tcPr>
            <w:tcW w:w="383" w:type="pct"/>
            <w:tcMar/>
          </w:tcPr>
          <w:p w:rsidRPr="006B094C" w:rsidR="00661D47" w:rsidP="00533D9C" w:rsidRDefault="0008251D" w14:paraId="002F66FF" w14:textId="70B234DA">
            <w:pPr>
              <w:rPr>
                <w:rFonts w:cs="Arial"/>
                <w:szCs w:val="22"/>
              </w:rPr>
            </w:pPr>
            <w:r w:rsidRPr="0008251D">
              <w:rPr>
                <w:rFonts w:cs="Arial"/>
                <w:szCs w:val="22"/>
              </w:rPr>
              <w:t>General</w:t>
            </w:r>
          </w:p>
        </w:tc>
        <w:tc>
          <w:tcPr>
            <w:tcW w:w="3360" w:type="pct"/>
            <w:tcMar/>
          </w:tcPr>
          <w:p w:rsidR="00661D47" w:rsidP="00533D9C" w:rsidRDefault="0008251D" w14:paraId="4189979F" w14:textId="58C73676">
            <w:pPr>
              <w:rPr>
                <w:rFonts w:cs="Arial"/>
                <w:szCs w:val="22"/>
              </w:rPr>
            </w:pPr>
            <w:r>
              <w:rPr>
                <w:rFonts w:cs="Arial"/>
                <w:szCs w:val="22"/>
              </w:rPr>
              <w:t>More emphasis on CBT to help alleviate some menopausal symptoms is well placed.</w:t>
            </w:r>
          </w:p>
          <w:p w:rsidRPr="006B094C" w:rsidR="0008251D" w:rsidP="00533D9C" w:rsidRDefault="0008251D" w14:paraId="358F066D" w14:textId="71712BEF">
            <w:pPr>
              <w:rPr>
                <w:rFonts w:cs="Arial"/>
                <w:szCs w:val="22"/>
              </w:rPr>
            </w:pPr>
          </w:p>
        </w:tc>
      </w:tr>
      <w:tr w:rsidRPr="006B094C" w:rsidR="004302A7" w:rsidTr="6DCA2040" w14:paraId="5E1FAD22" w14:textId="77777777">
        <w:tc>
          <w:tcPr>
            <w:tcW w:w="463" w:type="pct"/>
            <w:tcMar/>
          </w:tcPr>
          <w:p w:rsidRPr="006B094C" w:rsidR="00661D47" w:rsidP="00533D9C" w:rsidRDefault="00661D47" w14:paraId="656ED425" w14:textId="77777777">
            <w:pPr>
              <w:rPr>
                <w:rFonts w:cs="Arial"/>
                <w:szCs w:val="22"/>
              </w:rPr>
            </w:pPr>
            <w:r w:rsidRPr="006B094C">
              <w:rPr>
                <w:rFonts w:cs="Arial"/>
                <w:szCs w:val="22"/>
              </w:rPr>
              <w:t>3</w:t>
            </w:r>
          </w:p>
        </w:tc>
        <w:tc>
          <w:tcPr>
            <w:tcW w:w="445" w:type="pct"/>
            <w:tcMar/>
          </w:tcPr>
          <w:p w:rsidRPr="006B094C" w:rsidR="00661D47" w:rsidP="00533D9C" w:rsidRDefault="0008251D" w14:paraId="67CD7A10" w14:textId="69D75E41">
            <w:pPr>
              <w:rPr>
                <w:rFonts w:cs="Arial"/>
                <w:szCs w:val="22"/>
              </w:rPr>
            </w:pPr>
            <w:r>
              <w:rPr>
                <w:rFonts w:cs="Arial"/>
                <w:szCs w:val="22"/>
              </w:rPr>
              <w:t>Guideline</w:t>
            </w:r>
          </w:p>
        </w:tc>
        <w:tc>
          <w:tcPr>
            <w:tcW w:w="349" w:type="pct"/>
            <w:tcMar/>
          </w:tcPr>
          <w:p w:rsidRPr="006B094C" w:rsidR="00661D47" w:rsidP="00533D9C" w:rsidRDefault="0008251D" w14:paraId="50D0A3DC" w14:textId="0991AB21">
            <w:pPr>
              <w:rPr>
                <w:rFonts w:cs="Arial"/>
                <w:szCs w:val="22"/>
              </w:rPr>
            </w:pPr>
            <w:r w:rsidRPr="0008251D">
              <w:rPr>
                <w:rFonts w:cs="Arial"/>
                <w:szCs w:val="22"/>
              </w:rPr>
              <w:t>General</w:t>
            </w:r>
          </w:p>
        </w:tc>
        <w:tc>
          <w:tcPr>
            <w:tcW w:w="383" w:type="pct"/>
            <w:tcMar/>
          </w:tcPr>
          <w:p w:rsidRPr="006B094C" w:rsidR="00661D47" w:rsidP="00533D9C" w:rsidRDefault="0008251D" w14:paraId="6F2B05E9" w14:textId="50550472">
            <w:pPr>
              <w:rPr>
                <w:rFonts w:cs="Arial"/>
                <w:szCs w:val="22"/>
              </w:rPr>
            </w:pPr>
            <w:r w:rsidRPr="0008251D">
              <w:rPr>
                <w:rFonts w:cs="Arial"/>
                <w:szCs w:val="22"/>
              </w:rPr>
              <w:t>General</w:t>
            </w:r>
          </w:p>
        </w:tc>
        <w:tc>
          <w:tcPr>
            <w:tcW w:w="3360" w:type="pct"/>
            <w:tcMar/>
          </w:tcPr>
          <w:p w:rsidR="00661D47" w:rsidP="00533D9C" w:rsidRDefault="0008251D" w14:paraId="1C67E4F4" w14:textId="6D813431">
            <w:pPr>
              <w:rPr>
                <w:rFonts w:cs="Arial"/>
                <w:szCs w:val="22"/>
              </w:rPr>
            </w:pPr>
            <w:r>
              <w:rPr>
                <w:rFonts w:cs="Arial"/>
                <w:szCs w:val="22"/>
              </w:rPr>
              <w:t>It is good to see genitourinary symptoms mentioned alongside a variety of treatment options.</w:t>
            </w:r>
          </w:p>
          <w:p w:rsidRPr="006B094C" w:rsidR="0008251D" w:rsidP="00533D9C" w:rsidRDefault="0008251D" w14:paraId="608EB76D" w14:textId="4C894322">
            <w:pPr>
              <w:rPr>
                <w:rFonts w:cs="Arial"/>
                <w:szCs w:val="22"/>
              </w:rPr>
            </w:pPr>
          </w:p>
        </w:tc>
      </w:tr>
      <w:tr w:rsidRPr="006B094C" w:rsidR="004302A7" w:rsidTr="6DCA2040" w14:paraId="67501DC0" w14:textId="77777777">
        <w:tc>
          <w:tcPr>
            <w:tcW w:w="463" w:type="pct"/>
            <w:tcMar/>
          </w:tcPr>
          <w:p w:rsidRPr="006B094C" w:rsidR="00661D47" w:rsidP="00533D9C" w:rsidRDefault="00661D47" w14:paraId="0041D7B5" w14:textId="77777777">
            <w:pPr>
              <w:rPr>
                <w:rFonts w:cs="Arial"/>
                <w:szCs w:val="22"/>
              </w:rPr>
            </w:pPr>
            <w:r w:rsidRPr="006B094C">
              <w:rPr>
                <w:rFonts w:cs="Arial"/>
                <w:szCs w:val="22"/>
              </w:rPr>
              <w:t>4</w:t>
            </w:r>
          </w:p>
        </w:tc>
        <w:tc>
          <w:tcPr>
            <w:tcW w:w="445" w:type="pct"/>
            <w:tcMar/>
          </w:tcPr>
          <w:p w:rsidRPr="006B094C" w:rsidR="00661D47" w:rsidP="00533D9C" w:rsidRDefault="0008251D" w14:paraId="78FCF2DF" w14:textId="430EEE9E">
            <w:pPr>
              <w:rPr>
                <w:rFonts w:cs="Arial"/>
                <w:szCs w:val="22"/>
              </w:rPr>
            </w:pPr>
            <w:r>
              <w:rPr>
                <w:rFonts w:cs="Arial"/>
                <w:szCs w:val="22"/>
              </w:rPr>
              <w:t>Guideline</w:t>
            </w:r>
          </w:p>
        </w:tc>
        <w:tc>
          <w:tcPr>
            <w:tcW w:w="349" w:type="pct"/>
            <w:tcMar/>
          </w:tcPr>
          <w:p w:rsidRPr="006B094C" w:rsidR="00661D47" w:rsidP="00533D9C" w:rsidRDefault="0008251D" w14:paraId="1AFE5717" w14:textId="0591C37D">
            <w:pPr>
              <w:rPr>
                <w:rFonts w:cs="Arial"/>
                <w:szCs w:val="22"/>
              </w:rPr>
            </w:pPr>
            <w:r w:rsidRPr="0008251D">
              <w:rPr>
                <w:rFonts w:cs="Arial"/>
                <w:szCs w:val="22"/>
              </w:rPr>
              <w:t>General</w:t>
            </w:r>
          </w:p>
        </w:tc>
        <w:tc>
          <w:tcPr>
            <w:tcW w:w="383" w:type="pct"/>
            <w:tcMar/>
          </w:tcPr>
          <w:p w:rsidRPr="006B094C" w:rsidR="00661D47" w:rsidP="00533D9C" w:rsidRDefault="0008251D" w14:paraId="2A5FDBCF" w14:textId="71D5AA96">
            <w:pPr>
              <w:rPr>
                <w:rFonts w:cs="Arial"/>
                <w:szCs w:val="22"/>
              </w:rPr>
            </w:pPr>
            <w:r w:rsidRPr="0008251D">
              <w:rPr>
                <w:rFonts w:cs="Arial"/>
                <w:szCs w:val="22"/>
              </w:rPr>
              <w:t>General</w:t>
            </w:r>
          </w:p>
        </w:tc>
        <w:tc>
          <w:tcPr>
            <w:tcW w:w="3360" w:type="pct"/>
            <w:tcMar/>
          </w:tcPr>
          <w:p w:rsidR="00661D47" w:rsidP="00533D9C" w:rsidRDefault="0008251D" w14:paraId="4388768F" w14:textId="70CB41FF">
            <w:pPr>
              <w:rPr>
                <w:rFonts w:cs="Arial"/>
                <w:szCs w:val="22"/>
              </w:rPr>
            </w:pPr>
            <w:r>
              <w:rPr>
                <w:rFonts w:cs="Arial"/>
                <w:szCs w:val="22"/>
              </w:rPr>
              <w:t>Further areas for research have been identified and we agree with these priority areas.</w:t>
            </w:r>
          </w:p>
          <w:p w:rsidRPr="006B094C" w:rsidR="0008251D" w:rsidP="00533D9C" w:rsidRDefault="0008251D" w14:paraId="3A804E7E" w14:textId="583BD15B">
            <w:pPr>
              <w:rPr>
                <w:rFonts w:cs="Arial"/>
                <w:szCs w:val="22"/>
              </w:rPr>
            </w:pPr>
          </w:p>
        </w:tc>
      </w:tr>
      <w:tr w:rsidRPr="006B094C" w:rsidR="004302A7" w:rsidTr="6DCA2040" w14:paraId="76A6E999" w14:textId="77777777">
        <w:tc>
          <w:tcPr>
            <w:tcW w:w="463" w:type="pct"/>
            <w:tcMar/>
          </w:tcPr>
          <w:p w:rsidRPr="006B094C" w:rsidR="00661D47" w:rsidP="00533D9C" w:rsidRDefault="00661D47" w14:paraId="079230C3" w14:textId="77777777">
            <w:pPr>
              <w:rPr>
                <w:rFonts w:cs="Arial"/>
                <w:szCs w:val="22"/>
              </w:rPr>
            </w:pPr>
            <w:r w:rsidRPr="006B094C">
              <w:rPr>
                <w:rFonts w:cs="Arial"/>
                <w:szCs w:val="22"/>
              </w:rPr>
              <w:t>5</w:t>
            </w:r>
          </w:p>
        </w:tc>
        <w:tc>
          <w:tcPr>
            <w:tcW w:w="445" w:type="pct"/>
            <w:tcMar/>
          </w:tcPr>
          <w:p w:rsidRPr="006B094C" w:rsidR="00661D47" w:rsidP="00533D9C" w:rsidRDefault="0008251D" w14:paraId="0E654C6F" w14:textId="79DA5880">
            <w:pPr>
              <w:rPr>
                <w:rFonts w:cs="Arial"/>
                <w:szCs w:val="22"/>
              </w:rPr>
            </w:pPr>
            <w:r>
              <w:rPr>
                <w:rFonts w:cs="Arial"/>
                <w:szCs w:val="22"/>
              </w:rPr>
              <w:t>Guideline</w:t>
            </w:r>
          </w:p>
        </w:tc>
        <w:tc>
          <w:tcPr>
            <w:tcW w:w="349" w:type="pct"/>
            <w:tcMar/>
          </w:tcPr>
          <w:p w:rsidRPr="006B094C" w:rsidR="00661D47" w:rsidP="00533D9C" w:rsidRDefault="0008251D" w14:paraId="5F31FC83" w14:textId="162B702D">
            <w:pPr>
              <w:rPr>
                <w:rFonts w:cs="Arial"/>
                <w:szCs w:val="22"/>
              </w:rPr>
            </w:pPr>
            <w:r>
              <w:rPr>
                <w:rFonts w:cs="Arial"/>
                <w:szCs w:val="22"/>
              </w:rPr>
              <w:t xml:space="preserve">General </w:t>
            </w:r>
          </w:p>
        </w:tc>
        <w:tc>
          <w:tcPr>
            <w:tcW w:w="383" w:type="pct"/>
            <w:tcMar/>
          </w:tcPr>
          <w:p w:rsidRPr="006B094C" w:rsidR="00661D47" w:rsidP="00533D9C" w:rsidRDefault="0008251D" w14:paraId="1BB124A7" w14:textId="3F2B7CD0">
            <w:pPr>
              <w:rPr>
                <w:rFonts w:cs="Arial"/>
                <w:szCs w:val="22"/>
              </w:rPr>
            </w:pPr>
            <w:r>
              <w:rPr>
                <w:rFonts w:cs="Arial"/>
                <w:szCs w:val="22"/>
              </w:rPr>
              <w:t>General</w:t>
            </w:r>
          </w:p>
        </w:tc>
        <w:tc>
          <w:tcPr>
            <w:tcW w:w="3360" w:type="pct"/>
            <w:tcMar/>
          </w:tcPr>
          <w:p w:rsidR="00661D47" w:rsidP="00533D9C" w:rsidRDefault="0008251D" w14:paraId="68B0646F" w14:textId="77777777">
            <w:pPr>
              <w:rPr>
                <w:rFonts w:cs="Arial"/>
                <w:szCs w:val="22"/>
              </w:rPr>
            </w:pPr>
            <w:r>
              <w:rPr>
                <w:rFonts w:cs="Arial"/>
                <w:szCs w:val="22"/>
              </w:rPr>
              <w:t>More support is needed to ensure all healthcare professionals have a general understanding of the menopause.</w:t>
            </w:r>
          </w:p>
          <w:p w:rsidRPr="006B094C" w:rsidR="0008251D" w:rsidP="00533D9C" w:rsidRDefault="0008251D" w14:paraId="75D7E631" w14:textId="30ECDB28">
            <w:pPr>
              <w:rPr>
                <w:rFonts w:cs="Arial"/>
                <w:szCs w:val="22"/>
              </w:rPr>
            </w:pPr>
          </w:p>
        </w:tc>
      </w:tr>
      <w:tr w:rsidR="752CA9D2" w:rsidTr="6DCA2040" w14:paraId="4B45E8FB">
        <w:trPr>
          <w:trHeight w:val="300"/>
        </w:trPr>
        <w:tc>
          <w:tcPr>
            <w:tcW w:w="1413" w:type="dxa"/>
            <w:tcMar/>
          </w:tcPr>
          <w:p w:rsidR="752CA9D2" w:rsidP="752CA9D2" w:rsidRDefault="752CA9D2" w14:paraId="5EA6F84B" w14:textId="442246A3">
            <w:pPr>
              <w:pStyle w:val="Normal"/>
              <w:rPr>
                <w:rFonts w:cs="Arial"/>
              </w:rPr>
            </w:pPr>
          </w:p>
        </w:tc>
        <w:tc>
          <w:tcPr>
            <w:tcW w:w="1359" w:type="dxa"/>
            <w:tcMar/>
          </w:tcPr>
          <w:p w:rsidR="752CA9D2" w:rsidP="752CA9D2" w:rsidRDefault="752CA9D2" w14:paraId="71204A96" w14:textId="3DA8039D">
            <w:pPr>
              <w:pStyle w:val="Normal"/>
              <w:bidi w:val="0"/>
              <w:spacing w:before="0" w:beforeAutospacing="off" w:after="0" w:afterAutospacing="off" w:line="259" w:lineRule="auto"/>
              <w:ind w:left="0" w:right="0"/>
              <w:jc w:val="left"/>
            </w:pPr>
            <w:r w:rsidRPr="752CA9D2" w:rsidR="752CA9D2">
              <w:rPr>
                <w:rFonts w:cs="Arial"/>
              </w:rPr>
              <w:t>Guideline</w:t>
            </w:r>
          </w:p>
        </w:tc>
        <w:tc>
          <w:tcPr>
            <w:tcW w:w="1066" w:type="dxa"/>
            <w:tcMar/>
          </w:tcPr>
          <w:p w:rsidR="752CA9D2" w:rsidP="752CA9D2" w:rsidRDefault="752CA9D2" w14:paraId="55813EEC" w14:textId="4F2DD40D">
            <w:pPr>
              <w:pStyle w:val="Normal"/>
              <w:rPr>
                <w:rFonts w:cs="Arial"/>
              </w:rPr>
            </w:pPr>
            <w:r w:rsidRPr="752CA9D2" w:rsidR="752CA9D2">
              <w:rPr>
                <w:rFonts w:cs="Arial"/>
              </w:rPr>
              <w:t>General</w:t>
            </w:r>
          </w:p>
        </w:tc>
        <w:tc>
          <w:tcPr>
            <w:tcW w:w="1170" w:type="dxa"/>
            <w:tcMar/>
          </w:tcPr>
          <w:p w:rsidR="752CA9D2" w:rsidP="752CA9D2" w:rsidRDefault="752CA9D2" w14:paraId="003C2ACE" w14:textId="43302640">
            <w:pPr>
              <w:pStyle w:val="Normal"/>
              <w:rPr>
                <w:rFonts w:cs="Arial"/>
              </w:rPr>
            </w:pPr>
            <w:r w:rsidRPr="752CA9D2" w:rsidR="752CA9D2">
              <w:rPr>
                <w:rFonts w:cs="Arial"/>
              </w:rPr>
              <w:t>General</w:t>
            </w:r>
          </w:p>
        </w:tc>
        <w:tc>
          <w:tcPr>
            <w:tcW w:w="10260" w:type="dxa"/>
            <w:tcMar/>
          </w:tcPr>
          <w:p w:rsidR="752CA9D2" w:rsidP="752CA9D2" w:rsidRDefault="752CA9D2" w14:paraId="10FB2502" w14:textId="769F2187">
            <w:pPr>
              <w:pStyle w:val="Normal"/>
              <w:rPr>
                <w:rFonts w:cs="Arial"/>
              </w:rPr>
            </w:pPr>
            <w:r w:rsidRPr="752CA9D2" w:rsidR="752CA9D2">
              <w:rPr>
                <w:rFonts w:cs="Arial"/>
              </w:rPr>
              <w:t>We welcome the tables: Combined HRT: effect on health outcomes and Oestrogen-only HRT: effect on health outcomes. They will be very useful in practice</w:t>
            </w:r>
          </w:p>
          <w:p w:rsidR="752CA9D2" w:rsidP="752CA9D2" w:rsidRDefault="752CA9D2" w14:paraId="18F2FBA4" w14:textId="25ED3491">
            <w:pPr>
              <w:pStyle w:val="Normal"/>
              <w:rPr>
                <w:rFonts w:cs="Arial"/>
              </w:rPr>
            </w:pPr>
          </w:p>
        </w:tc>
      </w:tr>
      <w:tr w:rsidRPr="006B094C" w:rsidR="00062BAB" w:rsidTr="6DCA2040" w14:paraId="0DBCC03D" w14:textId="77777777">
        <w:tc>
          <w:tcPr>
            <w:tcW w:w="463" w:type="pct"/>
            <w:tcMar/>
          </w:tcPr>
          <w:p w:rsidRPr="006B094C" w:rsidR="00062BAB" w:rsidP="00533D9C" w:rsidRDefault="00062BAB" w14:paraId="7C5C7FE6" w14:textId="77777777">
            <w:pPr>
              <w:rPr>
                <w:rFonts w:cs="Arial"/>
                <w:szCs w:val="22"/>
              </w:rPr>
            </w:pPr>
            <w:r w:rsidRPr="006B094C">
              <w:rPr>
                <w:rFonts w:cs="Arial"/>
                <w:szCs w:val="22"/>
              </w:rPr>
              <w:t>6</w:t>
            </w:r>
          </w:p>
        </w:tc>
        <w:tc>
          <w:tcPr>
            <w:tcW w:w="445" w:type="pct"/>
            <w:tcMar/>
          </w:tcPr>
          <w:p w:rsidRPr="006B094C" w:rsidR="00062BAB" w:rsidP="47F28B44" w:rsidRDefault="00062BAB" w14:paraId="03A39B5C" w14:textId="535F07C5">
            <w:pPr>
              <w:rPr>
                <w:rFonts w:cs="Arial"/>
              </w:rPr>
            </w:pPr>
            <w:r w:rsidRPr="47F28B44" w:rsidR="47F28B44">
              <w:rPr>
                <w:rFonts w:cs="Arial"/>
              </w:rPr>
              <w:t>Guideline</w:t>
            </w:r>
          </w:p>
        </w:tc>
        <w:tc>
          <w:tcPr>
            <w:tcW w:w="349" w:type="pct"/>
            <w:tcMar/>
          </w:tcPr>
          <w:p w:rsidRPr="006B094C" w:rsidR="00062BAB" w:rsidP="47F28B44" w:rsidRDefault="00062BAB" w14:paraId="368BD531" w14:textId="329445A7">
            <w:pPr>
              <w:rPr>
                <w:rFonts w:cs="Arial"/>
              </w:rPr>
            </w:pPr>
            <w:r w:rsidRPr="47F28B44" w:rsidR="47F28B44">
              <w:rPr>
                <w:rFonts w:cs="Arial"/>
              </w:rPr>
              <w:t>7</w:t>
            </w:r>
          </w:p>
        </w:tc>
        <w:tc>
          <w:tcPr>
            <w:tcW w:w="383" w:type="pct"/>
            <w:tcMar/>
          </w:tcPr>
          <w:p w:rsidRPr="006B094C" w:rsidR="00062BAB" w:rsidP="47F28B44" w:rsidRDefault="00062BAB" w14:paraId="2D7E7831" w14:textId="69883118">
            <w:pPr>
              <w:rPr>
                <w:rFonts w:cs="Arial"/>
              </w:rPr>
            </w:pPr>
            <w:r w:rsidRPr="47F28B44" w:rsidR="47F28B44">
              <w:rPr>
                <w:rFonts w:cs="Arial"/>
              </w:rPr>
              <w:t>12-14</w:t>
            </w:r>
          </w:p>
        </w:tc>
        <w:tc>
          <w:tcPr>
            <w:tcW w:w="3360" w:type="pct"/>
            <w:tcMar/>
          </w:tcPr>
          <w:p w:rsidRPr="006B094C" w:rsidR="00062BAB" w:rsidP="7575A345" w:rsidRDefault="00062BAB" w14:paraId="464A96CB" w14:textId="35AE5134">
            <w:pPr>
              <w:rPr>
                <w:rFonts w:cs="Arial"/>
              </w:rPr>
            </w:pPr>
            <w:r w:rsidRPr="7575A345" w:rsidR="7575A345">
              <w:rPr>
                <w:rFonts w:cs="Arial"/>
              </w:rPr>
              <w:t>It would be helpful to have the NHSE endorsed Selfcare Forum Menopause PIL cross referenced here for health professionals to use in consultations. It would be good if this PIL was available in different languages to ensure inclusivity.</w:t>
            </w:r>
          </w:p>
          <w:p w:rsidRPr="006B094C" w:rsidR="00062BAB" w:rsidP="7575A345" w:rsidRDefault="00062BAB" w14:paraId="67D5BCE6" w14:textId="69E43552">
            <w:pPr>
              <w:pStyle w:val="Normal"/>
              <w:rPr>
                <w:rFonts w:cs="Arial"/>
              </w:rPr>
            </w:pPr>
          </w:p>
        </w:tc>
      </w:tr>
      <w:tr w:rsidRPr="006B094C" w:rsidR="00107280" w:rsidTr="6DCA2040" w14:paraId="154A7EEF" w14:textId="77777777">
        <w:tc>
          <w:tcPr>
            <w:tcW w:w="463" w:type="pct"/>
            <w:tcMar/>
          </w:tcPr>
          <w:p w:rsidRPr="006B094C" w:rsidR="00107280" w:rsidP="00533D9C" w:rsidRDefault="00107280" w14:paraId="1D27A13B" w14:textId="77777777">
            <w:pPr>
              <w:rPr>
                <w:rFonts w:cs="Arial"/>
                <w:szCs w:val="22"/>
              </w:rPr>
            </w:pPr>
            <w:r>
              <w:rPr>
                <w:rFonts w:cs="Arial"/>
                <w:szCs w:val="22"/>
              </w:rPr>
              <w:t>7</w:t>
            </w:r>
          </w:p>
        </w:tc>
        <w:tc>
          <w:tcPr>
            <w:tcW w:w="445" w:type="pct"/>
            <w:tcMar/>
          </w:tcPr>
          <w:p w:rsidRPr="006B094C" w:rsidR="00107280" w:rsidP="752CA9D2" w:rsidRDefault="00107280" w14:paraId="14610956" w14:textId="15DA35A0">
            <w:pPr>
              <w:pStyle w:val="Normal"/>
              <w:rPr>
                <w:rFonts w:cs="Arial"/>
              </w:rPr>
            </w:pPr>
            <w:r w:rsidRPr="752CA9D2" w:rsidR="752CA9D2">
              <w:rPr>
                <w:rFonts w:cs="Arial"/>
              </w:rPr>
              <w:t>Guideline</w:t>
            </w:r>
          </w:p>
        </w:tc>
        <w:tc>
          <w:tcPr>
            <w:tcW w:w="349" w:type="pct"/>
            <w:tcMar/>
          </w:tcPr>
          <w:p w:rsidRPr="006B094C" w:rsidR="00107280" w:rsidP="6DCE4052" w:rsidRDefault="00107280" w14:paraId="69AFE4DB" w14:textId="7B5A7848">
            <w:pPr>
              <w:rPr>
                <w:rFonts w:cs="Arial"/>
              </w:rPr>
            </w:pPr>
            <w:r w:rsidRPr="6DCE4052" w:rsidR="6DCE4052">
              <w:rPr>
                <w:rFonts w:cs="Arial"/>
              </w:rPr>
              <w:t>11</w:t>
            </w:r>
          </w:p>
        </w:tc>
        <w:tc>
          <w:tcPr>
            <w:tcW w:w="383" w:type="pct"/>
            <w:tcMar/>
          </w:tcPr>
          <w:p w:rsidRPr="006B094C" w:rsidR="00107280" w:rsidP="6DCE4052" w:rsidRDefault="00107280" w14:paraId="1BEBA3BE" w14:textId="32C217D5">
            <w:pPr>
              <w:rPr>
                <w:rFonts w:cs="Arial"/>
              </w:rPr>
            </w:pPr>
            <w:r w:rsidRPr="6DCE4052" w:rsidR="6DCE4052">
              <w:rPr>
                <w:rFonts w:cs="Arial"/>
              </w:rPr>
              <w:t>7-13</w:t>
            </w:r>
          </w:p>
        </w:tc>
        <w:tc>
          <w:tcPr>
            <w:tcW w:w="3360" w:type="pct"/>
            <w:tcMar/>
          </w:tcPr>
          <w:p w:rsidRPr="006B094C" w:rsidR="00107280" w:rsidP="7575A345" w:rsidRDefault="00107280" w14:paraId="57DFAFA0" w14:textId="0E38A5FF">
            <w:pPr>
              <w:pStyle w:val="Normal"/>
              <w:tabs>
                <w:tab w:val="left" w:leader="none" w:pos="720"/>
              </w:tabs>
              <w:ind w:left="0"/>
              <w:rPr>
                <w:rFonts w:ascii="Arial" w:hAnsi="Arial" w:eastAsia="Arial" w:cs="Arial"/>
                <w:noProof w:val="0"/>
                <w:color w:val="000000" w:themeColor="text1" w:themeTint="FF" w:themeShade="FF"/>
                <w:sz w:val="22"/>
                <w:szCs w:val="22"/>
                <w:lang w:val="en-GB"/>
              </w:rPr>
            </w:pPr>
            <w:r w:rsidRPr="7575A345" w:rsidR="7575A345">
              <w:rPr>
                <w:rFonts w:ascii="Arial" w:hAnsi="Arial" w:eastAsia="Arial" w:cs="Arial"/>
                <w:noProof w:val="0"/>
                <w:color w:val="000000" w:themeColor="text1" w:themeTint="FF" w:themeShade="FF"/>
                <w:sz w:val="22"/>
                <w:szCs w:val="22"/>
                <w:lang w:val="en-GB"/>
              </w:rPr>
              <w:t xml:space="preserve">We note that there are already long waiting lists and capacity issues with CBT services for patients with mental health or malignancy indications. We would welcome NICE NG23 updated guidance indication that menopausal anxiety and depression needs are a priority indication. Considering the evidence base review for CBT as outlined within the consultation document, the focus should include patient profiles such as clinical depression and menopausal anxiety and depression; cancer and menopause anxiety and depression. </w:t>
            </w:r>
          </w:p>
          <w:p w:rsidRPr="006B094C" w:rsidR="00107280" w:rsidP="6DCE4052" w:rsidRDefault="00107280" w14:paraId="39F55F01" w14:textId="0D4E9594">
            <w:pPr>
              <w:pStyle w:val="Normal"/>
              <w:rPr>
                <w:rFonts w:cs="Arial"/>
              </w:rPr>
            </w:pPr>
          </w:p>
        </w:tc>
      </w:tr>
      <w:tr w:rsidRPr="006B094C" w:rsidR="00107280" w:rsidTr="6DCA2040" w14:paraId="7D194F84" w14:textId="77777777">
        <w:tc>
          <w:tcPr>
            <w:tcW w:w="463" w:type="pct"/>
            <w:tcMar/>
          </w:tcPr>
          <w:p w:rsidR="00107280" w:rsidP="00533D9C" w:rsidRDefault="00107280" w14:paraId="65F45AEF" w14:textId="77777777">
            <w:pPr>
              <w:rPr>
                <w:rFonts w:cs="Arial"/>
                <w:szCs w:val="22"/>
              </w:rPr>
            </w:pPr>
            <w:r>
              <w:rPr>
                <w:rFonts w:cs="Arial"/>
                <w:szCs w:val="22"/>
              </w:rPr>
              <w:t>8</w:t>
            </w:r>
          </w:p>
        </w:tc>
        <w:tc>
          <w:tcPr>
            <w:tcW w:w="445" w:type="pct"/>
            <w:tcMar/>
          </w:tcPr>
          <w:p w:rsidRPr="006B094C" w:rsidR="00107280" w:rsidP="752CA9D2" w:rsidRDefault="00107280" w14:paraId="6A5160EF" w14:textId="29860C5E">
            <w:pPr>
              <w:pStyle w:val="Normal"/>
              <w:rPr>
                <w:rFonts w:cs="Arial"/>
              </w:rPr>
            </w:pPr>
            <w:r w:rsidRPr="752CA9D2" w:rsidR="752CA9D2">
              <w:rPr>
                <w:rFonts w:cs="Arial"/>
              </w:rPr>
              <w:t>Guideline</w:t>
            </w:r>
          </w:p>
        </w:tc>
        <w:tc>
          <w:tcPr>
            <w:tcW w:w="349" w:type="pct"/>
            <w:tcMar/>
          </w:tcPr>
          <w:p w:rsidRPr="006B094C" w:rsidR="00107280" w:rsidP="6DCE4052" w:rsidRDefault="00107280" w14:paraId="4F00900F" w14:textId="59B201E5">
            <w:pPr>
              <w:rPr>
                <w:rFonts w:cs="Arial"/>
              </w:rPr>
            </w:pPr>
            <w:r w:rsidRPr="6DCE4052" w:rsidR="6DCE4052">
              <w:rPr>
                <w:rFonts w:cs="Arial"/>
              </w:rPr>
              <w:t>12</w:t>
            </w:r>
          </w:p>
        </w:tc>
        <w:tc>
          <w:tcPr>
            <w:tcW w:w="383" w:type="pct"/>
            <w:tcMar/>
          </w:tcPr>
          <w:p w:rsidRPr="006B094C" w:rsidR="00107280" w:rsidP="6DCE4052" w:rsidRDefault="00107280" w14:paraId="63A3641E" w14:textId="1AD8D935">
            <w:pPr>
              <w:rPr>
                <w:rFonts w:cs="Arial"/>
              </w:rPr>
            </w:pPr>
            <w:r w:rsidRPr="6DCE4052" w:rsidR="6DCE4052">
              <w:rPr>
                <w:rFonts w:cs="Arial"/>
              </w:rPr>
              <w:t>11-14</w:t>
            </w:r>
          </w:p>
        </w:tc>
        <w:tc>
          <w:tcPr>
            <w:tcW w:w="3360" w:type="pct"/>
            <w:tcMar/>
          </w:tcPr>
          <w:p w:rsidRPr="006B094C" w:rsidR="00107280" w:rsidP="6DCE4052" w:rsidRDefault="00107280" w14:paraId="431FF9F2" w14:textId="711500CA">
            <w:pPr>
              <w:rPr>
                <w:rFonts w:cs="Arial"/>
              </w:rPr>
            </w:pPr>
            <w:r w:rsidRPr="53F7E34A" w:rsidR="53F7E34A">
              <w:rPr>
                <w:rFonts w:cs="Arial"/>
              </w:rPr>
              <w:t xml:space="preserve">There is a need for NICE guidance on HRT dosing regimens that maybe required for treatment of menopause symptoms in Trans Men and Non-binary people registered female at birth. The updated guidance when published in 2024 will raise expectations in this group for HRT treatment. Experience within clinics indicate that even if these patients are off </w:t>
            </w:r>
            <w:r w:rsidRPr="53F7E34A" w:rsidR="53F7E34A">
              <w:rPr>
                <w:rFonts w:cs="Arial"/>
              </w:rPr>
              <w:t>GAT</w:t>
            </w:r>
            <w:r w:rsidRPr="53F7E34A" w:rsidR="53F7E34A">
              <w:rPr>
                <w:rFonts w:cs="Arial"/>
              </w:rPr>
              <w:t xml:space="preserve"> they feel that they need higher HRT dosing. We welcome the recommendation for research in these patient groups; however, guidance on prescribing should be considered now.</w:t>
            </w:r>
          </w:p>
          <w:p w:rsidRPr="006B094C" w:rsidR="00107280" w:rsidP="6DCE4052" w:rsidRDefault="00107280" w14:paraId="0E44B67B" w14:textId="267AD021">
            <w:pPr>
              <w:pStyle w:val="Normal"/>
              <w:rPr>
                <w:rFonts w:cs="Arial"/>
              </w:rPr>
            </w:pPr>
          </w:p>
        </w:tc>
      </w:tr>
      <w:tr w:rsidRPr="006B094C" w:rsidR="00107280" w:rsidTr="6DCA2040" w14:paraId="7EFA3326" w14:textId="77777777">
        <w:tc>
          <w:tcPr>
            <w:tcW w:w="463" w:type="pct"/>
            <w:tcMar/>
          </w:tcPr>
          <w:p w:rsidR="00107280" w:rsidP="00533D9C" w:rsidRDefault="00107280" w14:paraId="4F0C7C0E" w14:textId="77777777">
            <w:pPr>
              <w:rPr>
                <w:rFonts w:cs="Arial"/>
                <w:szCs w:val="22"/>
              </w:rPr>
            </w:pPr>
            <w:r>
              <w:rPr>
                <w:rFonts w:cs="Arial"/>
                <w:szCs w:val="22"/>
              </w:rPr>
              <w:t>9</w:t>
            </w:r>
          </w:p>
        </w:tc>
        <w:tc>
          <w:tcPr>
            <w:tcW w:w="445" w:type="pct"/>
            <w:tcMar/>
          </w:tcPr>
          <w:p w:rsidRPr="006B094C" w:rsidR="00107280" w:rsidP="752CA9D2" w:rsidRDefault="00107280" w14:paraId="2CFFFDBA" w14:textId="55C1FCC1">
            <w:pPr>
              <w:pStyle w:val="Normal"/>
              <w:rPr>
                <w:rFonts w:cs="Arial"/>
              </w:rPr>
            </w:pPr>
            <w:r w:rsidRPr="752CA9D2" w:rsidR="752CA9D2">
              <w:rPr>
                <w:rFonts w:cs="Arial"/>
              </w:rPr>
              <w:t>Guideline</w:t>
            </w:r>
          </w:p>
        </w:tc>
        <w:tc>
          <w:tcPr>
            <w:tcW w:w="349" w:type="pct"/>
            <w:tcMar/>
          </w:tcPr>
          <w:p w:rsidRPr="006B094C" w:rsidR="00107280" w:rsidP="7575A345" w:rsidRDefault="00107280" w14:paraId="73B59DD6" w14:textId="6E3BE755">
            <w:pPr>
              <w:rPr>
                <w:rFonts w:cs="Arial"/>
              </w:rPr>
            </w:pPr>
            <w:r w:rsidRPr="7575A345" w:rsidR="7575A345">
              <w:rPr>
                <w:rFonts w:cs="Arial"/>
              </w:rPr>
              <w:t>13</w:t>
            </w:r>
          </w:p>
        </w:tc>
        <w:tc>
          <w:tcPr>
            <w:tcW w:w="383" w:type="pct"/>
            <w:tcMar/>
          </w:tcPr>
          <w:p w:rsidRPr="006B094C" w:rsidR="00107280" w:rsidP="7575A345" w:rsidRDefault="00107280" w14:paraId="19750FB5" w14:textId="5C00D245">
            <w:pPr>
              <w:rPr>
                <w:rFonts w:cs="Arial"/>
              </w:rPr>
            </w:pPr>
            <w:r w:rsidRPr="7575A345" w:rsidR="7575A345">
              <w:rPr>
                <w:rFonts w:cs="Arial"/>
              </w:rPr>
              <w:t>1-12</w:t>
            </w:r>
          </w:p>
        </w:tc>
        <w:tc>
          <w:tcPr>
            <w:tcW w:w="3360" w:type="pct"/>
            <w:tcMar/>
          </w:tcPr>
          <w:p w:rsidRPr="006B094C" w:rsidR="00107280" w:rsidP="7575A345" w:rsidRDefault="00107280" w14:paraId="1287052B" w14:textId="54CBA41D">
            <w:pPr>
              <w:rPr>
                <w:rFonts w:cs="Arial"/>
              </w:rPr>
            </w:pPr>
            <w:r w:rsidRPr="6DCA2040" w:rsidR="6DCA2040">
              <w:rPr>
                <w:rFonts w:cs="Arial"/>
              </w:rPr>
              <w:t>We would suggest a change in the sentence as follows - ...initiated on recommendation by a health professional with expertise in menopause. There are already capacity issues as specialists are dealing with COVID backlogs. The expectation that the first prescription is issued by the menopause specialist will have ramifications on capacity and affect patient care adversely due to long waiting times. We suggest that initiation is not limited to a menopause specialist.</w:t>
            </w:r>
          </w:p>
          <w:p w:rsidRPr="006B094C" w:rsidR="00107280" w:rsidP="7575A345" w:rsidRDefault="00107280" w14:paraId="3AE85B0F" w14:textId="4172FDE9">
            <w:pPr>
              <w:pStyle w:val="Normal"/>
              <w:rPr>
                <w:rFonts w:cs="Arial"/>
              </w:rPr>
            </w:pPr>
          </w:p>
        </w:tc>
      </w:tr>
      <w:tr w:rsidRPr="006B094C" w:rsidR="00107280" w:rsidTr="6DCA2040" w14:paraId="76D0C53C" w14:textId="77777777">
        <w:tc>
          <w:tcPr>
            <w:tcW w:w="463" w:type="pct"/>
            <w:tcMar/>
          </w:tcPr>
          <w:p w:rsidR="00107280" w:rsidP="00533D9C" w:rsidRDefault="00107280" w14:paraId="5F893DCD" w14:textId="77777777">
            <w:pPr>
              <w:rPr>
                <w:rFonts w:cs="Arial"/>
                <w:szCs w:val="22"/>
              </w:rPr>
            </w:pPr>
            <w:r>
              <w:rPr>
                <w:rFonts w:cs="Arial"/>
                <w:szCs w:val="22"/>
              </w:rPr>
              <w:t>10</w:t>
            </w:r>
          </w:p>
        </w:tc>
        <w:tc>
          <w:tcPr>
            <w:tcW w:w="445" w:type="pct"/>
            <w:tcMar/>
          </w:tcPr>
          <w:p w:rsidRPr="006B094C" w:rsidR="00107280" w:rsidP="752CA9D2" w:rsidRDefault="00107280" w14:paraId="2F14CB33" w14:textId="554DA765">
            <w:pPr>
              <w:pStyle w:val="Normal"/>
              <w:rPr>
                <w:rFonts w:cs="Arial"/>
              </w:rPr>
            </w:pPr>
            <w:r w:rsidRPr="752CA9D2" w:rsidR="752CA9D2">
              <w:rPr>
                <w:rFonts w:cs="Arial"/>
              </w:rPr>
              <w:t>Guideline</w:t>
            </w:r>
          </w:p>
        </w:tc>
        <w:tc>
          <w:tcPr>
            <w:tcW w:w="349" w:type="pct"/>
            <w:tcMar/>
          </w:tcPr>
          <w:p w:rsidRPr="006B094C" w:rsidR="00107280" w:rsidP="7575A345" w:rsidRDefault="00107280" w14:paraId="4BC42251" w14:textId="6612B4C4">
            <w:pPr>
              <w:rPr>
                <w:rFonts w:cs="Arial"/>
              </w:rPr>
            </w:pPr>
            <w:r w:rsidRPr="7575A345" w:rsidR="7575A345">
              <w:rPr>
                <w:rFonts w:cs="Arial"/>
              </w:rPr>
              <w:t>13</w:t>
            </w:r>
          </w:p>
        </w:tc>
        <w:tc>
          <w:tcPr>
            <w:tcW w:w="383" w:type="pct"/>
            <w:tcMar/>
          </w:tcPr>
          <w:p w:rsidRPr="006B094C" w:rsidR="00107280" w:rsidP="7575A345" w:rsidRDefault="00107280" w14:paraId="3E655F82" w14:textId="651DE909">
            <w:pPr>
              <w:rPr>
                <w:rFonts w:cs="Arial"/>
              </w:rPr>
            </w:pPr>
            <w:r w:rsidRPr="7575A345" w:rsidR="7575A345">
              <w:rPr>
                <w:rFonts w:cs="Arial"/>
              </w:rPr>
              <w:t>27-29</w:t>
            </w:r>
          </w:p>
        </w:tc>
        <w:tc>
          <w:tcPr>
            <w:tcW w:w="3360" w:type="pct"/>
            <w:tcMar/>
          </w:tcPr>
          <w:p w:rsidRPr="006B094C" w:rsidR="00107280" w:rsidP="7575A345" w:rsidRDefault="00107280" w14:paraId="3D62D8AD" w14:textId="5C3DDC67">
            <w:pPr>
              <w:rPr>
                <w:rFonts w:cs="Arial"/>
              </w:rPr>
            </w:pPr>
            <w:r w:rsidRPr="7575A345" w:rsidR="7575A345">
              <w:rPr>
                <w:rFonts w:cs="Arial"/>
              </w:rPr>
              <w:t xml:space="preserve">Consider the evidence base for TAH with RRBSO recommendation for management of familial and genetic risk of ovarian cancer as unopposed oestrogen is associated with a lower increase in risk for breast cancer vs combined HRT, associated with higher breast cancer risks [but combined HRT would need to be offered if the patient has only had a BSO]. </w:t>
            </w:r>
          </w:p>
          <w:p w:rsidRPr="006B094C" w:rsidR="00107280" w:rsidP="7575A345" w:rsidRDefault="00107280" w14:paraId="520DCF26" w14:textId="373388BB">
            <w:pPr>
              <w:pStyle w:val="Normal"/>
              <w:rPr>
                <w:rFonts w:cs="Arial"/>
              </w:rPr>
            </w:pPr>
          </w:p>
        </w:tc>
      </w:tr>
      <w:tr w:rsidR="7575A345" w:rsidTr="6DCA2040" w14:paraId="2DDCEB87">
        <w:trPr>
          <w:trHeight w:val="300"/>
        </w:trPr>
        <w:tc>
          <w:tcPr>
            <w:tcW w:w="1413" w:type="dxa"/>
            <w:tcMar/>
          </w:tcPr>
          <w:p w:rsidR="7575A345" w:rsidP="7575A345" w:rsidRDefault="7575A345" w14:paraId="6573E602" w14:textId="12D1470B">
            <w:pPr>
              <w:pStyle w:val="Normal"/>
              <w:rPr>
                <w:rFonts w:cs="Arial"/>
              </w:rPr>
            </w:pPr>
            <w:r w:rsidRPr="7575A345" w:rsidR="7575A345">
              <w:rPr>
                <w:rFonts w:cs="Arial"/>
              </w:rPr>
              <w:t>11</w:t>
            </w:r>
          </w:p>
        </w:tc>
        <w:tc>
          <w:tcPr>
            <w:tcW w:w="1359" w:type="dxa"/>
            <w:tcMar/>
          </w:tcPr>
          <w:p w:rsidR="7575A345" w:rsidP="7575A345" w:rsidRDefault="7575A345" w14:paraId="31F8E41D" w14:textId="4B42BC01">
            <w:pPr>
              <w:pStyle w:val="Normal"/>
              <w:rPr>
                <w:rFonts w:cs="Arial"/>
              </w:rPr>
            </w:pPr>
            <w:r w:rsidRPr="752CA9D2" w:rsidR="752CA9D2">
              <w:rPr>
                <w:rFonts w:cs="Arial"/>
              </w:rPr>
              <w:t>Guideline</w:t>
            </w:r>
          </w:p>
        </w:tc>
        <w:tc>
          <w:tcPr>
            <w:tcW w:w="1066" w:type="dxa"/>
            <w:tcMar/>
          </w:tcPr>
          <w:p w:rsidR="7575A345" w:rsidP="7575A345" w:rsidRDefault="7575A345" w14:paraId="18237211" w14:textId="732FD5A7">
            <w:pPr>
              <w:pStyle w:val="Normal"/>
              <w:rPr>
                <w:rFonts w:cs="Arial"/>
              </w:rPr>
            </w:pPr>
            <w:r w:rsidRPr="7575A345" w:rsidR="7575A345">
              <w:rPr>
                <w:rFonts w:cs="Arial"/>
              </w:rPr>
              <w:t>16</w:t>
            </w:r>
          </w:p>
        </w:tc>
        <w:tc>
          <w:tcPr>
            <w:tcW w:w="1170" w:type="dxa"/>
            <w:tcMar/>
          </w:tcPr>
          <w:p w:rsidR="7575A345" w:rsidP="7575A345" w:rsidRDefault="7575A345" w14:paraId="1AEEDC0C" w14:textId="50A32187">
            <w:pPr>
              <w:pStyle w:val="Normal"/>
              <w:rPr>
                <w:rFonts w:cs="Arial"/>
              </w:rPr>
            </w:pPr>
            <w:r w:rsidRPr="7575A345" w:rsidR="7575A345">
              <w:rPr>
                <w:rFonts w:cs="Arial"/>
              </w:rPr>
              <w:t>14</w:t>
            </w:r>
          </w:p>
        </w:tc>
        <w:tc>
          <w:tcPr>
            <w:tcW w:w="10260" w:type="dxa"/>
            <w:tcMar/>
          </w:tcPr>
          <w:p w:rsidR="7575A345" w:rsidP="7575A345" w:rsidRDefault="7575A345" w14:paraId="6F5F07DF" w14:textId="159D5B2F">
            <w:pPr>
              <w:pStyle w:val="Normal"/>
              <w:rPr>
                <w:rFonts w:cs="Arial"/>
              </w:rPr>
            </w:pPr>
            <w:r w:rsidRPr="7575A345" w:rsidR="7575A345">
              <w:rPr>
                <w:rFonts w:cs="Arial"/>
              </w:rPr>
              <w:t>Clarify text and add in that vaginal oestrogen is contra-indicated in women with breast cancer on aromatase inhibitors - in line with statement 1.4.30</w:t>
            </w:r>
          </w:p>
          <w:p w:rsidR="7575A345" w:rsidP="7575A345" w:rsidRDefault="7575A345" w14:paraId="243CBAD1" w14:textId="6DE7F5D7">
            <w:pPr>
              <w:pStyle w:val="Normal"/>
              <w:rPr>
                <w:rFonts w:cs="Arial"/>
              </w:rPr>
            </w:pPr>
          </w:p>
        </w:tc>
      </w:tr>
      <w:tr w:rsidR="571DFFB3" w:rsidTr="6DCA2040" w14:paraId="1A363814">
        <w:trPr>
          <w:trHeight w:val="300"/>
        </w:trPr>
        <w:tc>
          <w:tcPr>
            <w:tcW w:w="1413" w:type="dxa"/>
            <w:tcMar/>
          </w:tcPr>
          <w:p w:rsidR="571DFFB3" w:rsidP="571DFFB3" w:rsidRDefault="571DFFB3" w14:paraId="488C352E" w14:textId="73FE4DF9">
            <w:pPr>
              <w:pStyle w:val="Normal"/>
              <w:rPr>
                <w:rFonts w:cs="Arial"/>
              </w:rPr>
            </w:pPr>
            <w:r w:rsidRPr="571DFFB3" w:rsidR="571DFFB3">
              <w:rPr>
                <w:rFonts w:cs="Arial"/>
              </w:rPr>
              <w:t>12</w:t>
            </w:r>
          </w:p>
        </w:tc>
        <w:tc>
          <w:tcPr>
            <w:tcW w:w="1359" w:type="dxa"/>
            <w:tcMar/>
          </w:tcPr>
          <w:p w:rsidR="571DFFB3" w:rsidP="571DFFB3" w:rsidRDefault="571DFFB3" w14:paraId="17580B28" w14:textId="212DF1B4">
            <w:pPr>
              <w:pStyle w:val="Normal"/>
              <w:rPr>
                <w:rFonts w:cs="Arial"/>
              </w:rPr>
            </w:pPr>
            <w:r w:rsidRPr="571DFFB3" w:rsidR="571DFFB3">
              <w:rPr>
                <w:rFonts w:cs="Arial"/>
              </w:rPr>
              <w:t>Guideline</w:t>
            </w:r>
          </w:p>
        </w:tc>
        <w:tc>
          <w:tcPr>
            <w:tcW w:w="1066" w:type="dxa"/>
            <w:tcMar/>
          </w:tcPr>
          <w:p w:rsidR="571DFFB3" w:rsidP="571DFFB3" w:rsidRDefault="571DFFB3" w14:paraId="7BB1C56A" w14:textId="1FB83AC9">
            <w:pPr>
              <w:pStyle w:val="Normal"/>
              <w:rPr>
                <w:rFonts w:cs="Arial"/>
              </w:rPr>
            </w:pPr>
            <w:r w:rsidRPr="571DFFB3" w:rsidR="571DFFB3">
              <w:rPr>
                <w:rFonts w:cs="Arial"/>
              </w:rPr>
              <w:t>18</w:t>
            </w:r>
          </w:p>
        </w:tc>
        <w:tc>
          <w:tcPr>
            <w:tcW w:w="1170" w:type="dxa"/>
            <w:tcMar/>
          </w:tcPr>
          <w:p w:rsidR="571DFFB3" w:rsidP="571DFFB3" w:rsidRDefault="571DFFB3" w14:paraId="53D86D0F" w14:textId="7CE1A121">
            <w:pPr>
              <w:pStyle w:val="Normal"/>
              <w:rPr>
                <w:rFonts w:cs="Arial"/>
              </w:rPr>
            </w:pPr>
            <w:r w:rsidRPr="571DFFB3" w:rsidR="571DFFB3">
              <w:rPr>
                <w:rFonts w:cs="Arial"/>
              </w:rPr>
              <w:t>3-8</w:t>
            </w:r>
          </w:p>
        </w:tc>
        <w:tc>
          <w:tcPr>
            <w:tcW w:w="10260" w:type="dxa"/>
            <w:tcMar/>
          </w:tcPr>
          <w:p w:rsidR="571DFFB3" w:rsidP="571DFFB3" w:rsidRDefault="571DFFB3" w14:paraId="4BA458C9" w14:textId="7E78C8AB">
            <w:pPr>
              <w:spacing w:before="300" w:beforeAutospacing="off" w:after="300" w:afterAutospacing="off"/>
              <w:rPr>
                <w:rFonts w:ascii="Arial" w:hAnsi="Arial" w:eastAsia="Arial" w:cs="Arial"/>
                <w:noProof w:val="0"/>
                <w:sz w:val="22"/>
                <w:szCs w:val="22"/>
                <w:lang w:val="en-GB"/>
              </w:rPr>
            </w:pPr>
            <w:r w:rsidRPr="571DFFB3" w:rsidR="571DFFB3">
              <w:rPr>
                <w:rFonts w:ascii="Arial" w:hAnsi="Arial" w:eastAsia="Arial" w:cs="Arial"/>
                <w:noProof w:val="0"/>
                <w:sz w:val="22"/>
                <w:szCs w:val="22"/>
                <w:lang w:val="en-GB"/>
              </w:rPr>
              <w:t>The guideline addresses vaginal dryness, a common and distressing symptom of menopause. It's encouraging to see that treatments for this condition are now more accessible, being available over the counter in local pharmacies. This could be highlighted more clearly within the guideline. This not only enhances access for women but also helps to reduce the burden on general practice appointments, a crucial factor in improving healthcare efficiency and patient experience.</w:t>
            </w:r>
          </w:p>
        </w:tc>
      </w:tr>
      <w:tr w:rsidR="7575A345" w:rsidTr="6DCA2040" w14:paraId="2E2128D9">
        <w:trPr>
          <w:trHeight w:val="300"/>
        </w:trPr>
        <w:tc>
          <w:tcPr>
            <w:tcW w:w="1413" w:type="dxa"/>
            <w:tcMar/>
          </w:tcPr>
          <w:p w:rsidR="7575A345" w:rsidP="7575A345" w:rsidRDefault="7575A345" w14:paraId="7B3DC164" w14:textId="2A04F713">
            <w:pPr>
              <w:pStyle w:val="Normal"/>
              <w:rPr>
                <w:rFonts w:cs="Arial"/>
              </w:rPr>
            </w:pPr>
            <w:r w:rsidRPr="2B9A3339" w:rsidR="2B9A3339">
              <w:rPr>
                <w:rFonts w:cs="Arial"/>
              </w:rPr>
              <w:t>13</w:t>
            </w:r>
          </w:p>
        </w:tc>
        <w:tc>
          <w:tcPr>
            <w:tcW w:w="1359" w:type="dxa"/>
            <w:tcMar/>
          </w:tcPr>
          <w:p w:rsidR="7575A345" w:rsidP="7575A345" w:rsidRDefault="7575A345" w14:paraId="78F6F1C3" w14:textId="75A8571B">
            <w:pPr>
              <w:pStyle w:val="Normal"/>
              <w:rPr>
                <w:rFonts w:cs="Arial"/>
              </w:rPr>
            </w:pPr>
            <w:r w:rsidRPr="752CA9D2" w:rsidR="752CA9D2">
              <w:rPr>
                <w:rFonts w:cs="Arial"/>
              </w:rPr>
              <w:t>Guideline</w:t>
            </w:r>
          </w:p>
        </w:tc>
        <w:tc>
          <w:tcPr>
            <w:tcW w:w="1066" w:type="dxa"/>
            <w:tcMar/>
          </w:tcPr>
          <w:p w:rsidR="7575A345" w:rsidP="7575A345" w:rsidRDefault="7575A345" w14:paraId="603C44DE" w14:textId="16DE40D5">
            <w:pPr>
              <w:pStyle w:val="Normal"/>
              <w:rPr>
                <w:rFonts w:cs="Arial"/>
              </w:rPr>
            </w:pPr>
            <w:r w:rsidRPr="752CA9D2" w:rsidR="752CA9D2">
              <w:rPr>
                <w:rFonts w:cs="Arial"/>
              </w:rPr>
              <w:t>19</w:t>
            </w:r>
          </w:p>
        </w:tc>
        <w:tc>
          <w:tcPr>
            <w:tcW w:w="1170" w:type="dxa"/>
            <w:tcMar/>
          </w:tcPr>
          <w:p w:rsidR="7575A345" w:rsidP="7575A345" w:rsidRDefault="7575A345" w14:paraId="2285C950" w14:textId="67124526">
            <w:pPr>
              <w:pStyle w:val="Normal"/>
              <w:rPr>
                <w:rFonts w:cs="Arial"/>
              </w:rPr>
            </w:pPr>
            <w:r w:rsidRPr="7575A345" w:rsidR="7575A345">
              <w:rPr>
                <w:rFonts w:cs="Arial"/>
              </w:rPr>
              <w:t>15</w:t>
            </w:r>
          </w:p>
        </w:tc>
        <w:tc>
          <w:tcPr>
            <w:tcW w:w="10260" w:type="dxa"/>
            <w:tcMar/>
          </w:tcPr>
          <w:p w:rsidR="7575A345" w:rsidP="7575A345" w:rsidRDefault="7575A345" w14:paraId="0F34EB4B" w14:textId="13A4994B">
            <w:pPr>
              <w:pStyle w:val="Normal"/>
              <w:rPr>
                <w:rFonts w:ascii="Arial" w:hAnsi="Arial" w:eastAsia="Arial" w:cs="Arial"/>
                <w:sz w:val="22"/>
                <w:szCs w:val="22"/>
              </w:rPr>
            </w:pPr>
            <w:r w:rsidRPr="7575A345" w:rsidR="7575A345">
              <w:rPr>
                <w:rFonts w:ascii="Arial" w:hAnsi="Arial" w:eastAsia="Arial" w:cs="Arial"/>
                <w:sz w:val="22"/>
                <w:szCs w:val="22"/>
              </w:rPr>
              <w:t xml:space="preserve">Unopposed oestrogen is prescribed with TAH but with complex cases </w:t>
            </w:r>
            <w:proofErr w:type="spellStart"/>
            <w:r w:rsidRPr="7575A345" w:rsidR="7575A345">
              <w:rPr>
                <w:rFonts w:ascii="Arial" w:hAnsi="Arial" w:eastAsia="Arial" w:cs="Arial"/>
                <w:sz w:val="22"/>
                <w:szCs w:val="22"/>
              </w:rPr>
              <w:t>eg</w:t>
            </w:r>
            <w:proofErr w:type="spellEnd"/>
            <w:r w:rsidRPr="7575A345" w:rsidR="7575A345">
              <w:rPr>
                <w:rFonts w:ascii="Arial" w:hAnsi="Arial" w:eastAsia="Arial" w:cs="Arial"/>
                <w:sz w:val="22"/>
                <w:szCs w:val="22"/>
              </w:rPr>
              <w:t xml:space="preserve"> TAH and severe endometriosis or subtotal hysterectomy, these patients can be / would be advised to use combined HRT [ref Cochrane database; Post Reproductive Health publications 2022.]  </w:t>
            </w:r>
          </w:p>
          <w:p w:rsidR="7575A345" w:rsidP="7575A345" w:rsidRDefault="7575A345" w14:paraId="3FE88CE6" w14:textId="39C38D79">
            <w:pPr>
              <w:pStyle w:val="Normal"/>
              <w:rPr>
                <w:rFonts w:ascii="Arial" w:hAnsi="Arial" w:eastAsia="Arial" w:cs="Arial"/>
                <w:sz w:val="22"/>
                <w:szCs w:val="22"/>
              </w:rPr>
            </w:pPr>
          </w:p>
        </w:tc>
      </w:tr>
      <w:tr w:rsidR="7575A345" w:rsidTr="6DCA2040" w14:paraId="7B914C0E">
        <w:trPr>
          <w:trHeight w:val="300"/>
        </w:trPr>
        <w:tc>
          <w:tcPr>
            <w:tcW w:w="1413" w:type="dxa"/>
            <w:tcMar/>
          </w:tcPr>
          <w:p w:rsidR="7575A345" w:rsidP="7575A345" w:rsidRDefault="7575A345" w14:paraId="112DEE26" w14:textId="505BBAA3">
            <w:pPr>
              <w:pStyle w:val="Normal"/>
              <w:rPr>
                <w:rFonts w:cs="Arial"/>
              </w:rPr>
            </w:pPr>
            <w:r w:rsidRPr="2B9A3339" w:rsidR="2B9A3339">
              <w:rPr>
                <w:rFonts w:cs="Arial"/>
              </w:rPr>
              <w:t>14</w:t>
            </w:r>
          </w:p>
        </w:tc>
        <w:tc>
          <w:tcPr>
            <w:tcW w:w="1359" w:type="dxa"/>
            <w:tcMar/>
          </w:tcPr>
          <w:p w:rsidR="7575A345" w:rsidP="7575A345" w:rsidRDefault="7575A345" w14:paraId="0E5212FB" w14:textId="60127193">
            <w:pPr>
              <w:pStyle w:val="Normal"/>
              <w:rPr>
                <w:rFonts w:cs="Arial"/>
              </w:rPr>
            </w:pPr>
            <w:r w:rsidRPr="752CA9D2" w:rsidR="752CA9D2">
              <w:rPr>
                <w:rFonts w:cs="Arial"/>
              </w:rPr>
              <w:t>Guideline</w:t>
            </w:r>
          </w:p>
        </w:tc>
        <w:tc>
          <w:tcPr>
            <w:tcW w:w="1066" w:type="dxa"/>
            <w:tcMar/>
          </w:tcPr>
          <w:p w:rsidR="7575A345" w:rsidP="7575A345" w:rsidRDefault="7575A345" w14:paraId="54CC0931" w14:textId="38DA6CB9">
            <w:pPr>
              <w:pStyle w:val="Normal"/>
              <w:rPr>
                <w:rFonts w:cs="Arial"/>
              </w:rPr>
            </w:pPr>
            <w:r w:rsidRPr="752CA9D2" w:rsidR="752CA9D2">
              <w:rPr>
                <w:rFonts w:cs="Arial"/>
              </w:rPr>
              <w:t>22</w:t>
            </w:r>
          </w:p>
        </w:tc>
        <w:tc>
          <w:tcPr>
            <w:tcW w:w="1170" w:type="dxa"/>
            <w:tcMar/>
          </w:tcPr>
          <w:p w:rsidR="7575A345" w:rsidP="7575A345" w:rsidRDefault="7575A345" w14:paraId="3F0BC426" w14:textId="5ED9C625">
            <w:pPr>
              <w:pStyle w:val="Normal"/>
              <w:rPr>
                <w:rFonts w:cs="Arial"/>
              </w:rPr>
            </w:pPr>
            <w:r w:rsidRPr="752CA9D2" w:rsidR="752CA9D2">
              <w:rPr>
                <w:rFonts w:cs="Arial"/>
              </w:rPr>
              <w:t>3</w:t>
            </w:r>
          </w:p>
        </w:tc>
        <w:tc>
          <w:tcPr>
            <w:tcW w:w="10260" w:type="dxa"/>
            <w:tcMar/>
          </w:tcPr>
          <w:p w:rsidR="7575A345" w:rsidP="752CA9D2" w:rsidRDefault="7575A345" w14:paraId="32821B05" w14:textId="3C0DA559">
            <w:pPr>
              <w:pStyle w:val="Normal"/>
              <w:rPr>
                <w:rFonts w:ascii="Arial" w:hAnsi="Arial" w:eastAsia="Arial" w:cs="Arial"/>
                <w:sz w:val="22"/>
                <w:szCs w:val="22"/>
              </w:rPr>
            </w:pPr>
            <w:r w:rsidRPr="7BD85CD4" w:rsidR="7BD85CD4">
              <w:rPr>
                <w:rFonts w:ascii="Arial" w:hAnsi="Arial" w:eastAsia="Arial" w:cs="Arial"/>
                <w:sz w:val="22"/>
                <w:szCs w:val="22"/>
              </w:rPr>
              <w:t xml:space="preserve">As per the French EN3 study, both micronized progesterone and </w:t>
            </w:r>
            <w:proofErr w:type="spellStart"/>
            <w:r w:rsidRPr="7BD85CD4" w:rsidR="7BD85CD4">
              <w:rPr>
                <w:rFonts w:ascii="Arial" w:hAnsi="Arial" w:eastAsia="Arial" w:cs="Arial"/>
                <w:sz w:val="22"/>
                <w:szCs w:val="22"/>
              </w:rPr>
              <w:t>dydrogesterone</w:t>
            </w:r>
            <w:proofErr w:type="spellEnd"/>
            <w:r w:rsidRPr="7BD85CD4" w:rsidR="7BD85CD4">
              <w:rPr>
                <w:rFonts w:ascii="Arial" w:hAnsi="Arial" w:eastAsia="Arial" w:cs="Arial"/>
                <w:sz w:val="22"/>
                <w:szCs w:val="22"/>
              </w:rPr>
              <w:t xml:space="preserve"> are considered as proffering lower breast cancer risk increase and should be stated in the updated guidance as there are patient profiles who do not settle on micronized progesterone and side effects mean that a suitably low risk alternative option for endometrial protection needs to be offered. </w:t>
            </w:r>
            <w:proofErr w:type="spellStart"/>
            <w:r w:rsidRPr="7BD85CD4" w:rsidR="7BD85CD4">
              <w:rPr>
                <w:rFonts w:ascii="Arial" w:hAnsi="Arial" w:eastAsia="Arial" w:cs="Arial"/>
                <w:sz w:val="22"/>
                <w:szCs w:val="22"/>
              </w:rPr>
              <w:t>Dydrogesterone</w:t>
            </w:r>
            <w:proofErr w:type="spellEnd"/>
            <w:r w:rsidRPr="7BD85CD4" w:rsidR="7BD85CD4">
              <w:rPr>
                <w:rFonts w:ascii="Arial" w:hAnsi="Arial" w:eastAsia="Arial" w:cs="Arial"/>
                <w:sz w:val="22"/>
                <w:szCs w:val="22"/>
              </w:rPr>
              <w:t>, a progestogen used in hormone replacement therapy (HRT), is perhaps not as widely utilised as it could be. The EN3 Study sheds light on the effectiveness and safety profile of dydrogesterone, suggesting it could be a valuable option for many women. Inclusion in the NICE guideline would be a positive development, bringing attention to a potentially underused treatment option.</w:t>
            </w:r>
          </w:p>
          <w:p w:rsidR="7575A345" w:rsidP="7575A345" w:rsidRDefault="7575A345" w14:paraId="3D0387A7" w14:textId="74A0C7E2">
            <w:pPr>
              <w:pStyle w:val="Normal"/>
              <w:rPr>
                <w:rFonts w:ascii="Arial" w:hAnsi="Arial" w:eastAsia="Arial" w:cs="Arial"/>
                <w:sz w:val="22"/>
                <w:szCs w:val="22"/>
              </w:rPr>
            </w:pPr>
          </w:p>
        </w:tc>
      </w:tr>
      <w:tr w:rsidR="14A9825A" w:rsidTr="6DCA2040" w14:paraId="57846F53">
        <w:trPr>
          <w:trHeight w:val="300"/>
        </w:trPr>
        <w:tc>
          <w:tcPr>
            <w:tcW w:w="1413" w:type="dxa"/>
            <w:tcMar/>
          </w:tcPr>
          <w:p w:rsidR="14A9825A" w:rsidP="14A9825A" w:rsidRDefault="14A9825A" w14:paraId="165A4F53" w14:textId="3A54C42D">
            <w:pPr>
              <w:pStyle w:val="Normal"/>
              <w:rPr>
                <w:rFonts w:cs="Arial"/>
              </w:rPr>
            </w:pPr>
            <w:r w:rsidRPr="14A9825A" w:rsidR="14A9825A">
              <w:rPr>
                <w:rFonts w:cs="Arial"/>
              </w:rPr>
              <w:t>15</w:t>
            </w:r>
          </w:p>
        </w:tc>
        <w:tc>
          <w:tcPr>
            <w:tcW w:w="1359" w:type="dxa"/>
            <w:tcMar/>
          </w:tcPr>
          <w:p w:rsidR="14A9825A" w:rsidP="14A9825A" w:rsidRDefault="14A9825A" w14:paraId="585910A4" w14:textId="43EEE28E">
            <w:pPr>
              <w:pStyle w:val="Normal"/>
              <w:rPr>
                <w:rFonts w:cs="Arial"/>
              </w:rPr>
            </w:pPr>
            <w:r w:rsidRPr="14A9825A" w:rsidR="14A9825A">
              <w:rPr>
                <w:rFonts w:cs="Arial"/>
              </w:rPr>
              <w:t>Guideline</w:t>
            </w:r>
          </w:p>
        </w:tc>
        <w:tc>
          <w:tcPr>
            <w:tcW w:w="1066" w:type="dxa"/>
            <w:tcMar/>
          </w:tcPr>
          <w:p w:rsidR="14A9825A" w:rsidP="14A9825A" w:rsidRDefault="14A9825A" w14:paraId="1206D1B3" w14:textId="007E942F">
            <w:pPr>
              <w:pStyle w:val="Normal"/>
              <w:rPr>
                <w:rFonts w:cs="Arial"/>
              </w:rPr>
            </w:pPr>
            <w:r w:rsidRPr="14A9825A" w:rsidR="14A9825A">
              <w:rPr>
                <w:rFonts w:cs="Arial"/>
              </w:rPr>
              <w:t>37</w:t>
            </w:r>
          </w:p>
        </w:tc>
        <w:tc>
          <w:tcPr>
            <w:tcW w:w="1170" w:type="dxa"/>
            <w:tcMar/>
          </w:tcPr>
          <w:p w:rsidR="14A9825A" w:rsidP="14A9825A" w:rsidRDefault="14A9825A" w14:paraId="76350C80" w14:textId="7DCCFAAF">
            <w:pPr>
              <w:pStyle w:val="Normal"/>
              <w:rPr>
                <w:rFonts w:cs="Arial"/>
              </w:rPr>
            </w:pPr>
            <w:r w:rsidRPr="14A9825A" w:rsidR="14A9825A">
              <w:rPr>
                <w:rFonts w:cs="Arial"/>
              </w:rPr>
              <w:t>16 - 28</w:t>
            </w:r>
          </w:p>
        </w:tc>
        <w:tc>
          <w:tcPr>
            <w:tcW w:w="10260" w:type="dxa"/>
            <w:tcMar/>
          </w:tcPr>
          <w:p w:rsidR="14A9825A" w:rsidP="14A9825A" w:rsidRDefault="14A9825A" w14:paraId="59219B71" w14:textId="62AF5063">
            <w:pPr>
              <w:pStyle w:val="Normal"/>
              <w:rPr>
                <w:rFonts w:ascii="Arial" w:hAnsi="Arial" w:eastAsia="Arial" w:cs="Arial"/>
                <w:sz w:val="22"/>
                <w:szCs w:val="22"/>
              </w:rPr>
            </w:pPr>
            <w:r w:rsidRPr="14A9825A" w:rsidR="14A9825A">
              <w:rPr>
                <w:rFonts w:ascii="Arial" w:hAnsi="Arial" w:eastAsia="Arial" w:cs="Arial"/>
                <w:sz w:val="22"/>
                <w:szCs w:val="22"/>
              </w:rPr>
              <w:t>This section looks at the definition of a health professional with expertise in menopause. Many GPs consider themselves as having expertise in menopause but are not BMS accredited. They may have done additional training but may not fulfil all the BMS criteria and may not have expertise in all four listed specialist areas in lines 20-26. Perhaps rewording this section to be more accommodating would also resolve the workload concerns of the original draft guidance and our suggested amendment at number 9.</w:t>
            </w:r>
          </w:p>
          <w:p w:rsidR="14A9825A" w:rsidP="14A9825A" w:rsidRDefault="14A9825A" w14:paraId="560ECA20" w14:textId="4C61FD99">
            <w:pPr>
              <w:pStyle w:val="Normal"/>
              <w:rPr>
                <w:rFonts w:ascii="Arial" w:hAnsi="Arial" w:eastAsia="Arial" w:cs="Arial"/>
                <w:sz w:val="22"/>
                <w:szCs w:val="22"/>
              </w:rPr>
            </w:pPr>
          </w:p>
        </w:tc>
      </w:tr>
      <w:tr w:rsidR="752CA9D2" w:rsidTr="6DCA2040" w14:paraId="79E0442D">
        <w:trPr>
          <w:trHeight w:val="300"/>
        </w:trPr>
        <w:tc>
          <w:tcPr>
            <w:tcW w:w="1413" w:type="dxa"/>
            <w:tcMar/>
          </w:tcPr>
          <w:p w:rsidR="752CA9D2" w:rsidP="752CA9D2" w:rsidRDefault="752CA9D2" w14:paraId="3A2E36C5" w14:textId="591ED7C0">
            <w:pPr>
              <w:pStyle w:val="Normal"/>
              <w:rPr>
                <w:rFonts w:cs="Arial"/>
              </w:rPr>
            </w:pPr>
            <w:r w:rsidRPr="14A9825A" w:rsidR="14A9825A">
              <w:rPr>
                <w:rFonts w:cs="Arial"/>
              </w:rPr>
              <w:t>16</w:t>
            </w:r>
          </w:p>
        </w:tc>
        <w:tc>
          <w:tcPr>
            <w:tcW w:w="1359" w:type="dxa"/>
            <w:tcMar/>
          </w:tcPr>
          <w:p w:rsidR="752CA9D2" w:rsidP="752CA9D2" w:rsidRDefault="752CA9D2" w14:paraId="555D64B6" w14:textId="61AC3459">
            <w:pPr>
              <w:pStyle w:val="Normal"/>
              <w:rPr>
                <w:rFonts w:cs="Arial"/>
              </w:rPr>
            </w:pPr>
            <w:r w:rsidRPr="752CA9D2" w:rsidR="752CA9D2">
              <w:rPr>
                <w:rFonts w:cs="Arial"/>
              </w:rPr>
              <w:t>Guideline</w:t>
            </w:r>
          </w:p>
        </w:tc>
        <w:tc>
          <w:tcPr>
            <w:tcW w:w="1066" w:type="dxa"/>
            <w:tcMar/>
          </w:tcPr>
          <w:p w:rsidR="752CA9D2" w:rsidP="752CA9D2" w:rsidRDefault="752CA9D2" w14:paraId="79E5E4CE" w14:textId="4F8560FF">
            <w:pPr>
              <w:pStyle w:val="Normal"/>
              <w:rPr>
                <w:rFonts w:cs="Arial"/>
              </w:rPr>
            </w:pPr>
            <w:r w:rsidRPr="752CA9D2" w:rsidR="752CA9D2">
              <w:rPr>
                <w:rFonts w:cs="Arial"/>
              </w:rPr>
              <w:t>47</w:t>
            </w:r>
          </w:p>
        </w:tc>
        <w:tc>
          <w:tcPr>
            <w:tcW w:w="1170" w:type="dxa"/>
            <w:tcMar/>
          </w:tcPr>
          <w:p w:rsidR="752CA9D2" w:rsidP="752CA9D2" w:rsidRDefault="752CA9D2" w14:paraId="4601A6B6" w14:textId="180FF246">
            <w:pPr>
              <w:pStyle w:val="Normal"/>
              <w:rPr>
                <w:rFonts w:cs="Arial"/>
              </w:rPr>
            </w:pPr>
            <w:r w:rsidRPr="752CA9D2" w:rsidR="752CA9D2">
              <w:rPr>
                <w:rFonts w:cs="Arial"/>
              </w:rPr>
              <w:t>12-18</w:t>
            </w:r>
          </w:p>
        </w:tc>
        <w:tc>
          <w:tcPr>
            <w:tcW w:w="10260" w:type="dxa"/>
            <w:tcMar/>
          </w:tcPr>
          <w:p w:rsidR="752CA9D2" w:rsidP="752CA9D2" w:rsidRDefault="752CA9D2" w14:paraId="0690FBC6" w14:textId="6D6F5444">
            <w:pPr>
              <w:pStyle w:val="Normal"/>
              <w:rPr>
                <w:rFonts w:ascii="Arial" w:hAnsi="Arial" w:eastAsia="Arial" w:cs="Arial"/>
                <w:sz w:val="22"/>
                <w:szCs w:val="22"/>
              </w:rPr>
            </w:pPr>
            <w:r w:rsidRPr="752CA9D2" w:rsidR="752CA9D2">
              <w:rPr>
                <w:rFonts w:ascii="Arial" w:hAnsi="Arial" w:eastAsia="Arial" w:cs="Arial"/>
                <w:sz w:val="22"/>
                <w:szCs w:val="22"/>
              </w:rPr>
              <w:t>The guideline helpfully clarifies that CBT has not been proven to help with low moods associated with menopause status. An explicit statement would be useful for health professionals.</w:t>
            </w:r>
          </w:p>
          <w:p w:rsidR="752CA9D2" w:rsidP="752CA9D2" w:rsidRDefault="752CA9D2" w14:paraId="067F3831" w14:textId="6E91E8C1">
            <w:pPr>
              <w:pStyle w:val="Normal"/>
              <w:rPr>
                <w:rFonts w:ascii="Arial" w:hAnsi="Arial" w:eastAsia="Arial" w:cs="Arial"/>
                <w:sz w:val="22"/>
                <w:szCs w:val="22"/>
              </w:rPr>
            </w:pPr>
          </w:p>
        </w:tc>
      </w:tr>
      <w:tr w:rsidR="7575A345" w:rsidTr="6DCA2040" w14:paraId="63AA7E60">
        <w:trPr>
          <w:trHeight w:val="1485"/>
        </w:trPr>
        <w:tc>
          <w:tcPr>
            <w:tcW w:w="1413" w:type="dxa"/>
            <w:tcMar/>
          </w:tcPr>
          <w:p w:rsidR="7575A345" w:rsidP="7575A345" w:rsidRDefault="7575A345" w14:paraId="61C59249" w14:textId="34DC8704">
            <w:pPr>
              <w:pStyle w:val="Normal"/>
              <w:rPr>
                <w:rFonts w:cs="Arial"/>
              </w:rPr>
            </w:pPr>
            <w:r w:rsidRPr="14A9825A" w:rsidR="14A9825A">
              <w:rPr>
                <w:rFonts w:cs="Arial"/>
              </w:rPr>
              <w:t>17</w:t>
            </w:r>
          </w:p>
        </w:tc>
        <w:tc>
          <w:tcPr>
            <w:tcW w:w="1359" w:type="dxa"/>
            <w:tcMar/>
          </w:tcPr>
          <w:p w:rsidR="7575A345" w:rsidP="7575A345" w:rsidRDefault="7575A345" w14:paraId="37FD0FCF" w14:textId="15260C75">
            <w:pPr>
              <w:pStyle w:val="Normal"/>
              <w:rPr>
                <w:rFonts w:cs="Arial"/>
              </w:rPr>
            </w:pPr>
            <w:r w:rsidRPr="752CA9D2" w:rsidR="752CA9D2">
              <w:rPr>
                <w:rFonts w:cs="Arial"/>
              </w:rPr>
              <w:t>Guideline</w:t>
            </w:r>
          </w:p>
        </w:tc>
        <w:tc>
          <w:tcPr>
            <w:tcW w:w="1066" w:type="dxa"/>
            <w:tcMar/>
          </w:tcPr>
          <w:p w:rsidR="7575A345" w:rsidP="7575A345" w:rsidRDefault="7575A345" w14:paraId="4BA8A183" w14:textId="4A844FCD">
            <w:pPr>
              <w:pStyle w:val="Normal"/>
              <w:rPr>
                <w:rFonts w:cs="Arial"/>
              </w:rPr>
            </w:pPr>
            <w:r w:rsidRPr="752CA9D2" w:rsidR="752CA9D2">
              <w:rPr>
                <w:rFonts w:cs="Arial"/>
              </w:rPr>
              <w:t>48</w:t>
            </w:r>
          </w:p>
        </w:tc>
        <w:tc>
          <w:tcPr>
            <w:tcW w:w="1170" w:type="dxa"/>
            <w:tcMar/>
          </w:tcPr>
          <w:p w:rsidR="7575A345" w:rsidP="7575A345" w:rsidRDefault="7575A345" w14:paraId="4D39C78A" w14:textId="4182DCE8">
            <w:pPr>
              <w:pStyle w:val="Normal"/>
              <w:rPr>
                <w:rFonts w:cs="Arial"/>
              </w:rPr>
            </w:pPr>
            <w:r w:rsidRPr="752CA9D2" w:rsidR="752CA9D2">
              <w:rPr>
                <w:rFonts w:cs="Arial"/>
              </w:rPr>
              <w:t>7-15</w:t>
            </w:r>
          </w:p>
        </w:tc>
        <w:tc>
          <w:tcPr>
            <w:tcW w:w="10260" w:type="dxa"/>
            <w:tcMar/>
          </w:tcPr>
          <w:p w:rsidR="7575A345" w:rsidP="752CA9D2" w:rsidRDefault="7575A345" w14:paraId="184B67EA" w14:textId="7921307C">
            <w:pPr>
              <w:pStyle w:val="Normal"/>
              <w:rPr>
                <w:rFonts w:ascii="Arial" w:hAnsi="Arial" w:eastAsia="Arial" w:cs="Arial"/>
                <w:sz w:val="22"/>
                <w:szCs w:val="22"/>
              </w:rPr>
            </w:pPr>
            <w:r w:rsidRPr="752CA9D2" w:rsidR="752CA9D2">
              <w:rPr>
                <w:rFonts w:ascii="Arial" w:hAnsi="Arial" w:eastAsia="Arial" w:cs="Arial"/>
                <w:sz w:val="22"/>
                <w:szCs w:val="22"/>
              </w:rPr>
              <w:t>Natural progesterone, with biological plausibility, is being researched independently for sleep problems, including insomnia and early wakening.  Research for use in menopause and sleep should be a research recommendation. Qs include could natural progesterone be used on its own in postmenopausal women over 65 for sleep benefit? Does natural progesterone a part of HRT regimen improve menopausal sleep outcomes?</w:t>
            </w:r>
          </w:p>
          <w:p w:rsidR="7575A345" w:rsidP="7575A345" w:rsidRDefault="7575A345" w14:paraId="52B81339" w14:textId="5F3A8380">
            <w:pPr>
              <w:pStyle w:val="Normal"/>
              <w:rPr>
                <w:rFonts w:ascii="Arial" w:hAnsi="Arial" w:eastAsia="Arial" w:cs="Arial"/>
                <w:sz w:val="22"/>
                <w:szCs w:val="22"/>
              </w:rPr>
            </w:pPr>
          </w:p>
        </w:tc>
      </w:tr>
      <w:tr w:rsidR="7575A345" w:rsidTr="6DCA2040" w14:paraId="187BA427">
        <w:trPr>
          <w:trHeight w:val="300"/>
        </w:trPr>
        <w:tc>
          <w:tcPr>
            <w:tcW w:w="1413" w:type="dxa"/>
            <w:tcMar/>
          </w:tcPr>
          <w:p w:rsidR="7575A345" w:rsidP="7575A345" w:rsidRDefault="7575A345" w14:paraId="4DF842EF" w14:textId="628DE4CD">
            <w:pPr>
              <w:pStyle w:val="Normal"/>
              <w:rPr>
                <w:rFonts w:cs="Arial"/>
              </w:rPr>
            </w:pPr>
            <w:r w:rsidRPr="14A9825A" w:rsidR="14A9825A">
              <w:rPr>
                <w:rFonts w:cs="Arial"/>
              </w:rPr>
              <w:t>18</w:t>
            </w:r>
          </w:p>
        </w:tc>
        <w:tc>
          <w:tcPr>
            <w:tcW w:w="1359" w:type="dxa"/>
            <w:tcMar/>
          </w:tcPr>
          <w:p w:rsidR="7575A345" w:rsidP="7575A345" w:rsidRDefault="7575A345" w14:paraId="7FB7DE6C" w14:textId="10C7E509">
            <w:pPr>
              <w:pStyle w:val="Normal"/>
              <w:rPr>
                <w:rFonts w:cs="Arial"/>
              </w:rPr>
            </w:pPr>
            <w:r w:rsidRPr="752CA9D2" w:rsidR="752CA9D2">
              <w:rPr>
                <w:rFonts w:cs="Arial"/>
              </w:rPr>
              <w:t>Guideline</w:t>
            </w:r>
          </w:p>
        </w:tc>
        <w:tc>
          <w:tcPr>
            <w:tcW w:w="1066" w:type="dxa"/>
            <w:tcMar/>
          </w:tcPr>
          <w:p w:rsidR="7575A345" w:rsidP="7575A345" w:rsidRDefault="7575A345" w14:paraId="513B2A86" w14:textId="4CD70AF7">
            <w:pPr>
              <w:pStyle w:val="Normal"/>
              <w:rPr>
                <w:rFonts w:cs="Arial"/>
              </w:rPr>
            </w:pPr>
            <w:r w:rsidRPr="7575A345" w:rsidR="7575A345">
              <w:rPr>
                <w:rFonts w:cs="Arial"/>
              </w:rPr>
              <w:t>19</w:t>
            </w:r>
          </w:p>
        </w:tc>
        <w:tc>
          <w:tcPr>
            <w:tcW w:w="1170" w:type="dxa"/>
            <w:tcMar/>
          </w:tcPr>
          <w:p w:rsidR="7575A345" w:rsidP="7575A345" w:rsidRDefault="7575A345" w14:paraId="51506D60" w14:textId="60D34735">
            <w:pPr>
              <w:pStyle w:val="Normal"/>
              <w:rPr>
                <w:rFonts w:cs="Arial"/>
              </w:rPr>
            </w:pPr>
            <w:r w:rsidRPr="7575A345" w:rsidR="7575A345">
              <w:rPr>
                <w:rFonts w:cs="Arial"/>
              </w:rPr>
              <w:t>6-7</w:t>
            </w:r>
          </w:p>
        </w:tc>
        <w:tc>
          <w:tcPr>
            <w:tcW w:w="10260" w:type="dxa"/>
            <w:tcMar/>
          </w:tcPr>
          <w:p w:rsidR="7575A345" w:rsidP="7575A345" w:rsidRDefault="7575A345" w14:paraId="21E5CD03" w14:textId="77B39EB8">
            <w:pPr>
              <w:pStyle w:val="Normal"/>
              <w:rPr>
                <w:rFonts w:ascii="Arial" w:hAnsi="Arial" w:eastAsia="Arial" w:cs="Arial"/>
                <w:noProof w:val="0"/>
                <w:sz w:val="22"/>
                <w:szCs w:val="22"/>
                <w:lang w:val="en-GB"/>
              </w:rPr>
            </w:pPr>
            <w:r w:rsidRPr="2B9A3339" w:rsidR="2B9A3339">
              <w:rPr>
                <w:rFonts w:ascii="Arial" w:hAnsi="Arial" w:eastAsia="Arial" w:cs="Arial"/>
                <w:noProof w:val="0"/>
                <w:color w:val="000000" w:themeColor="text1" w:themeTint="FF" w:themeShade="FF"/>
                <w:sz w:val="22"/>
                <w:szCs w:val="22"/>
                <w:lang w:val="en-GB"/>
              </w:rPr>
              <w:t>Although this text is greyed out, we would suggest amending the sentence to say ‘for people with low sexual desire associated with the menopause and causing distress if HRT alone is not effective. While testosterone treatment can be beneficial for some women, especially those with low libido, the guideline needs to provide clearer direction for clinicians. The suggestion to optimise oestrogen treatment before prescribing testosterone is a prudent approach, and the guideline could benefit from a clear statement advising clinicians to seek further guidance or consider referral when low libido is suspected to be related to testosterone levels if they do not feel confident to make sure a diagnosis. Such guidance would undoubtedly enhance patient outcomes.</w:t>
            </w:r>
          </w:p>
          <w:p w:rsidR="7575A345" w:rsidP="7575A345" w:rsidRDefault="7575A345" w14:paraId="0B9169A1" w14:textId="201EE532">
            <w:pPr>
              <w:pStyle w:val="Normal"/>
              <w:rPr>
                <w:rFonts w:ascii="Arial" w:hAnsi="Arial" w:eastAsia="Arial" w:cs="Arial"/>
                <w:noProof w:val="0"/>
                <w:color w:val="000000" w:themeColor="text1" w:themeTint="FF" w:themeShade="FF"/>
                <w:sz w:val="22"/>
                <w:szCs w:val="22"/>
                <w:lang w:val="en-GB"/>
              </w:rPr>
            </w:pPr>
          </w:p>
        </w:tc>
      </w:tr>
    </w:tbl>
    <w:p w:rsidR="00EF2ACA" w:rsidP="00661D47" w:rsidRDefault="00661D47" w14:paraId="422B863C" w14:textId="77777777">
      <w:pPr>
        <w:rPr>
          <w:sz w:val="16"/>
          <w:szCs w:val="16"/>
        </w:rPr>
      </w:pPr>
      <w:r>
        <w:rPr>
          <w:sz w:val="16"/>
          <w:szCs w:val="16"/>
        </w:rPr>
        <w:t xml:space="preserve">Insert extra rows as </w:t>
      </w:r>
      <w:proofErr w:type="gramStart"/>
      <w:r>
        <w:rPr>
          <w:sz w:val="16"/>
          <w:szCs w:val="16"/>
        </w:rPr>
        <w:t>needed</w:t>
      </w:r>
      <w:proofErr w:type="gramEnd"/>
    </w:p>
    <w:p w:rsidR="00A4033C" w:rsidP="00661D47" w:rsidRDefault="00A4033C" w14:paraId="1AC973F5" w14:textId="77777777">
      <w:pPr>
        <w:rPr>
          <w:sz w:val="16"/>
          <w:szCs w:val="16"/>
        </w:rPr>
      </w:pPr>
    </w:p>
    <w:p w:rsidRPr="00B81DC8" w:rsidR="003F6C97" w:rsidP="00EF2ACA" w:rsidRDefault="00EF2ACA" w14:paraId="3D722E68" w14:textId="77777777">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3">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6B32A8">
                <v:stroke joinstyle="miter"/>
                <v:path gradientshapeok="t" o:connecttype="rect"/>
              </v:shapetype>
              <v:shape id="Text Box 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v:textbox style="mso-fit-shape-to-text:t">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4">
                        <w:r w:rsidRPr="006B094C">
                          <w:rPr>
                            <w:rStyle w:val="Hyperlink"/>
                            <w:rFonts w:cs="Arial"/>
                            <w:bCs/>
                            <w:sz w:val="20"/>
                          </w:rPr>
                          <w:t>privacy notice</w:t>
                        </w:r>
                      </w:hyperlink>
                      <w:r w:rsidRPr="006B094C">
                        <w:rPr>
                          <w:bCs/>
                          <w:sz w:val="20"/>
                        </w:rPr>
                        <w:t>.</w:t>
                      </w:r>
                    </w:p>
                  </w:txbxContent>
                </v:textbox>
                <w10:wrap type="tight"/>
              </v:shape>
            </w:pict>
          </mc:Fallback>
        </mc:AlternateContent>
      </w:r>
    </w:p>
    <w:sectPr w:rsidRPr="00B81DC8" w:rsidR="003F6C97" w:rsidSect="00EF2ACA">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E66" w:rsidRDefault="00783E66" w14:paraId="1E796669" w14:textId="77777777">
      <w:r>
        <w:separator/>
      </w:r>
    </w:p>
  </w:endnote>
  <w:endnote w:type="continuationSeparator" w:id="0">
    <w:p w:rsidR="00783E66" w:rsidRDefault="00783E66" w14:paraId="57552E9E" w14:textId="77777777">
      <w:r>
        <w:continuationSeparator/>
      </w:r>
    </w:p>
  </w:endnote>
  <w:endnote w:type="continuationNotice" w:id="1">
    <w:p w:rsidR="00783E66" w:rsidRDefault="00783E66" w14:paraId="2D77F9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48C" w:rsidRDefault="00A5348C" w14:paraId="574478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6C88" w:rsidP="00EE6C88" w:rsidRDefault="00EE6C88" w14:paraId="350749DD" w14:textId="77777777">
    <w:pPr>
      <w:tabs>
        <w:tab w:val="left" w:pos="5565"/>
      </w:tabs>
      <w:rPr>
        <w:sz w:val="18"/>
      </w:rPr>
    </w:pPr>
    <w:r>
      <w:rPr>
        <w:sz w:val="18"/>
      </w:rPr>
      <w:tab/>
    </w:r>
  </w:p>
  <w:p w:rsidR="00EE6C88" w:rsidP="00EE6C88" w:rsidRDefault="00EE6C88" w14:paraId="73A96C6A" w14:textId="51C60BFB">
    <w:pPr>
      <w:rPr>
        <w:b/>
      </w:rPr>
    </w:pPr>
    <w:r>
      <w:rPr>
        <w:szCs w:val="22"/>
      </w:rPr>
      <w:t>Please return to:</w:t>
    </w:r>
    <w:r w:rsidR="00D062E4">
      <w:t xml:space="preserve"> </w:t>
    </w:r>
    <w:hyperlink w:history="1" r:id="rId1">
      <w:r w:rsidRPr="00757202" w:rsidR="00A5348C">
        <w:rPr>
          <w:rStyle w:val="Hyperlink"/>
        </w:rPr>
        <w:t>Menopause@nice.org.uk</w:t>
      </w:r>
    </w:hyperlink>
    <w:r w:rsidR="00A5348C">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48C" w:rsidRDefault="00A5348C" w14:paraId="4EAD41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E66" w:rsidRDefault="00783E66" w14:paraId="2076BFB0" w14:textId="77777777">
      <w:r>
        <w:separator/>
      </w:r>
    </w:p>
  </w:footnote>
  <w:footnote w:type="continuationSeparator" w:id="0">
    <w:p w:rsidR="00783E66" w:rsidRDefault="00783E66" w14:paraId="71AF8C07" w14:textId="77777777">
      <w:r>
        <w:continuationSeparator/>
      </w:r>
    </w:p>
  </w:footnote>
  <w:footnote w:type="continuationNotice" w:id="1">
    <w:p w:rsidR="00783E66" w:rsidRDefault="00783E66" w14:paraId="5234C7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48C" w:rsidRDefault="00A5348C" w14:paraId="25DFC4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039AA" w:rsidR="007968D4" w:rsidP="003F6C97" w:rsidRDefault="00132B3B" w14:paraId="663847BD" w14:textId="1E2A44A8">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A5348C">
      <w:t>Menopause: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Pr="00937F34" w:rsidR="007968D4" w:rsidP="007968D4" w:rsidRDefault="007968D4" w14:paraId="18251E04" w14:textId="77777777">
    <w:pPr>
      <w:pStyle w:val="Header"/>
      <w:jc w:val="center"/>
      <w:rPr>
        <w:b/>
        <w:bCs/>
      </w:rPr>
    </w:pPr>
  </w:p>
  <w:p w:rsidRPr="008039AA" w:rsidR="007968D4" w:rsidP="003F6C97" w:rsidRDefault="007968D4" w14:paraId="62FD38B2" w14:textId="6FE3618B">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Pr="008039AA" w:rsidR="00624222">
      <w:rPr>
        <w:rFonts w:cs="Arial"/>
        <w:bCs w:val="0"/>
      </w:rPr>
      <w:t>uideline</w:t>
    </w:r>
    <w:r w:rsidRPr="008039AA" w:rsid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5348C">
      <w:t xml:space="preserve">5pm </w:t>
    </w:r>
    <w:r w:rsidR="004C7583">
      <w:t xml:space="preserve">on </w:t>
    </w:r>
    <w:r w:rsidR="00A5348C">
      <w:t>05/01/2024</w:t>
    </w:r>
    <w:r w:rsidR="000328D5">
      <w:tab/>
    </w:r>
    <w:r w:rsidR="000328D5">
      <w:tab/>
    </w:r>
    <w:r w:rsidR="00886015">
      <w:tab/>
    </w:r>
    <w:r w:rsidR="00886015">
      <w:tab/>
    </w:r>
    <w:r w:rsidRPr="00F506DC" w:rsidR="007334BB">
      <w:rPr>
        <w:bCs w:val="0"/>
      </w:rPr>
      <w:t>email:</w:t>
    </w:r>
    <w:r w:rsidRPr="00F506DC" w:rsidR="007334BB">
      <w:rPr>
        <w:b w:val="0"/>
        <w:bCs w:val="0"/>
      </w:rPr>
      <w:t xml:space="preserve"> </w:t>
    </w:r>
    <w:hyperlink w:history="1" r:id="rId2">
      <w:r w:rsidRPr="00A5348C" w:rsidR="00A5348C">
        <w:rPr>
          <w:rStyle w:val="Hyperlink"/>
          <w:b w:val="0"/>
          <w:bCs w:val="0"/>
        </w:rPr>
        <w:t>Menopause@nice.org.uk</w:t>
      </w:r>
    </w:hyperlink>
    <w:r w:rsidR="00A5348C">
      <w:t xml:space="preserve"> </w:t>
    </w:r>
  </w:p>
  <w:p w:rsidR="007968D4" w:rsidRDefault="007968D4" w14:paraId="2774FC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48C" w:rsidRDefault="00A5348C" w14:paraId="6106F1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8251D"/>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3E66"/>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67A1"/>
    <w:rsid w:val="009D7079"/>
    <w:rsid w:val="009E26F6"/>
    <w:rsid w:val="009E7AF2"/>
    <w:rsid w:val="009F3153"/>
    <w:rsid w:val="00A053D0"/>
    <w:rsid w:val="00A10B99"/>
    <w:rsid w:val="00A201B2"/>
    <w:rsid w:val="00A23948"/>
    <w:rsid w:val="00A32731"/>
    <w:rsid w:val="00A4033C"/>
    <w:rsid w:val="00A46B9E"/>
    <w:rsid w:val="00A47837"/>
    <w:rsid w:val="00A47EB7"/>
    <w:rsid w:val="00A5348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5E77"/>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14A9825A"/>
    <w:rsid w:val="2B9A3339"/>
    <w:rsid w:val="47F28B44"/>
    <w:rsid w:val="53F7E34A"/>
    <w:rsid w:val="571DFFB3"/>
    <w:rsid w:val="69971DF6"/>
    <w:rsid w:val="6DCA2040"/>
    <w:rsid w:val="6DCE4052"/>
    <w:rsid w:val="752CA9D2"/>
    <w:rsid w:val="7575A345"/>
    <w:rsid w:val="7BD8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styleId="Default" w:customStyle="1">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styleId="CommentTextChar" w:customStyle="1">
    <w:name w:val="Comment Text Char"/>
    <w:link w:val="CommentText"/>
    <w:rsid w:val="00437587"/>
    <w:rPr>
      <w:rFonts w:ascii="Arial" w:hAnsi="Arial"/>
      <w:lang w:eastAsia="en-US"/>
    </w:rPr>
  </w:style>
  <w:style w:type="character" w:styleId="HeaderChar" w:customStyle="1">
    <w:name w:val="Header Char"/>
    <w:link w:val="Header"/>
    <w:uiPriority w:val="99"/>
    <w:rsid w:val="007968D4"/>
    <w:rPr>
      <w:rFonts w:ascii="Arial" w:hAnsi="Arial"/>
      <w:sz w:val="24"/>
      <w:szCs w:val="24"/>
      <w:lang w:eastAsia="en-US"/>
    </w:rPr>
  </w:style>
  <w:style w:type="character" w:styleId="FooterChar" w:customStyle="1">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styleId="CommentSubjectChar" w:customStyle="1">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styleId="BalloonTextChar" w:customStyle="1">
    <w:name w:val="Balloon Text Char"/>
    <w:link w:val="BalloonText"/>
    <w:rsid w:val="001E56D1"/>
    <w:rPr>
      <w:rFonts w:ascii="Tahoma" w:hAnsi="Tahoma" w:cs="Tahoma"/>
      <w:sz w:val="16"/>
      <w:szCs w:val="16"/>
      <w:lang w:eastAsia="en-US"/>
    </w:rPr>
  </w:style>
  <w:style w:type="paragraph" w:styleId="Paragraphnonumbers" w:customStyle="1">
    <w:name w:val="Paragraph no numbers"/>
    <w:basedOn w:val="Normal"/>
    <w:uiPriority w:val="99"/>
    <w:qFormat/>
    <w:rsid w:val="00246154"/>
    <w:pPr>
      <w:spacing w:after="240" w:line="276" w:lineRule="auto"/>
    </w:pPr>
    <w:rPr>
      <w:sz w:val="24"/>
      <w:szCs w:val="24"/>
      <w:lang w:eastAsia="en-GB"/>
    </w:rPr>
  </w:style>
  <w:style w:type="paragraph" w:styleId="Bullets" w:customStyle="1">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3F6C97"/>
    <w:rPr>
      <w:rFonts w:ascii="Cambria" w:hAnsi="Cambria" w:eastAsia="Times New Roman" w:cs="Times New Roman"/>
      <w:b/>
      <w:bCs/>
      <w:i/>
      <w:iCs/>
      <w:sz w:val="28"/>
      <w:szCs w:val="28"/>
      <w:lang w:eastAsia="en-US"/>
    </w:rPr>
  </w:style>
  <w:style w:type="paragraph" w:styleId="NICEnormal" w:customStyle="1">
    <w:name w:val="NICE normal"/>
    <w:link w:val="NICEnormalChar"/>
    <w:rsid w:val="000C30A4"/>
    <w:pPr>
      <w:spacing w:after="240" w:line="360" w:lineRule="auto"/>
    </w:pPr>
    <w:rPr>
      <w:rFonts w:ascii="Arial" w:hAnsi="Arial"/>
      <w:sz w:val="24"/>
      <w:szCs w:val="24"/>
      <w:lang w:val="en-US" w:eastAsia="en-US"/>
    </w:rPr>
  </w:style>
  <w:style w:type="character" w:styleId="NICEnormalChar" w:customStyle="1">
    <w:name w:val="NICE normal Char"/>
    <w:link w:val="NICEnormal"/>
    <w:rsid w:val="000C30A4"/>
    <w:rPr>
      <w:rFonts w:ascii="Arial" w:hAnsi="Arial"/>
      <w:sz w:val="24"/>
      <w:szCs w:val="24"/>
      <w:lang w:val="en-US" w:eastAsia="en-US"/>
    </w:rPr>
  </w:style>
  <w:style w:type="paragraph" w:styleId="Paragraph" w:customStyle="1">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ice.org.uk/privacy-notic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nice.org.uk/process/pmg20/resources/developing-nice-guidelines-how-to-get-involved-2722986687/chapter/commenting-on-a-draft-guidelin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process/pmg20/resources/developing-nice-guidelines-how-to-get-involved-2722986687/chapter/commenting-on-a-draft-guideline"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privacy-notice"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hyperlink" Target="mailto:Menopaus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enopaus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0" ma:contentTypeDescription="Create a new document." ma:contentTypeScope="" ma:versionID="a522b342ea9bf77f37c8b5272dbbbbe2">
  <xsd:schema xmlns:xsd="http://www.w3.org/2001/XMLSchema" xmlns:xs="http://www.w3.org/2001/XMLSchema" xmlns:p="http://schemas.microsoft.com/office/2006/metadata/properties" xmlns:ns2="715cf7c9-8a7f-4054-a61f-9334166f5a04" xmlns:ns3="48e53d9e-4d6d-40eb-bce0-faf32d6bb356" targetNamespace="http://schemas.microsoft.com/office/2006/metadata/properties" ma:root="true" ma:fieldsID="ee7b850d9604ee66fcdfc927dba115c4" ns2:_="" ns3:_="">
    <xsd:import namespace="715cf7c9-8a7f-4054-a61f-9334166f5a04"/>
    <xsd:import namespace="48e53d9e-4d6d-40eb-bce0-faf32d6bb3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48e53d9e-4d6d-40eb-bce0-faf32d6bb356"/>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E6736D68-E768-483A-950A-1F7F6C104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Institute for Clinical Excellence</dc:title>
  <dc:subject/>
  <dc:creator>Katie Stafford</dc:creator>
  <keywords/>
  <lastModifiedBy>Heidi Wright</lastModifiedBy>
  <revision>13</revision>
  <lastPrinted>2005-11-01T09:30:00.0000000Z</lastPrinted>
  <dcterms:created xsi:type="dcterms:W3CDTF">2023-11-29T15:48:00.0000000Z</dcterms:created>
  <dcterms:modified xsi:type="dcterms:W3CDTF">2024-01-04T09:08:28.9577197Z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