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505A2" w14:textId="17A0E7EA" w:rsidR="00975586" w:rsidRDefault="00C27CF8" w:rsidP="00975586">
      <w:pPr>
        <w:rPr>
          <w:b/>
          <w:bCs/>
        </w:rPr>
      </w:pPr>
      <w:r w:rsidRPr="00C27CF8">
        <w:rPr>
          <w:b/>
          <w:bCs/>
        </w:rPr>
        <w:t>Independent review of the Genomics Education Programme - Written Evidence Submission</w:t>
      </w:r>
    </w:p>
    <w:p w14:paraId="7E7E6CB2" w14:textId="0F97A9FE" w:rsidR="00C27CF8" w:rsidRDefault="00C27CF8" w:rsidP="00975586">
      <w:pPr>
        <w:rPr>
          <w:b/>
          <w:bCs/>
        </w:rPr>
      </w:pPr>
      <w:r>
        <w:rPr>
          <w:b/>
          <w:bCs/>
        </w:rPr>
        <w:t>Royal Pharmaceutical Society Response</w:t>
      </w:r>
    </w:p>
    <w:p w14:paraId="559B3A6F" w14:textId="77777777" w:rsidR="00C27CF8" w:rsidRDefault="00C27CF8" w:rsidP="00975586">
      <w:pPr>
        <w:rPr>
          <w:b/>
          <w:bCs/>
        </w:rPr>
      </w:pPr>
    </w:p>
    <w:p w14:paraId="11AD439B" w14:textId="2C0617FB" w:rsidR="00975586" w:rsidRPr="00975586" w:rsidRDefault="00975586" w:rsidP="00975586">
      <w:r w:rsidRPr="00975586">
        <w:rPr>
          <w:b/>
          <w:bCs/>
        </w:rPr>
        <w:t>About the Genomics Education Programme (GEP)</w:t>
      </w:r>
    </w:p>
    <w:p w14:paraId="3F074815" w14:textId="77777777" w:rsidR="00975586" w:rsidRPr="00975586" w:rsidRDefault="00975586" w:rsidP="00975586">
      <w:r w:rsidRPr="00975586">
        <w:t>NHS England’s GEP exists to deliver and advise on learning and development opportunities that prepare current and future NHS professionals to make the best use of genomics in their practice. The GEP’s objectives are: </w:t>
      </w:r>
    </w:p>
    <w:p w14:paraId="15651F01" w14:textId="77777777" w:rsidR="00975586" w:rsidRPr="00975586" w:rsidRDefault="00975586" w:rsidP="00975586">
      <w:pPr>
        <w:numPr>
          <w:ilvl w:val="0"/>
          <w:numId w:val="5"/>
        </w:numPr>
      </w:pPr>
      <w:r w:rsidRPr="00975586">
        <w:t>To prepare the workforce to deliver the new England - wide NHS Genomic Medicine Service   </w:t>
      </w:r>
    </w:p>
    <w:p w14:paraId="636326E1" w14:textId="77777777" w:rsidR="00975586" w:rsidRPr="00975586" w:rsidRDefault="00975586" w:rsidP="00975586">
      <w:pPr>
        <w:numPr>
          <w:ilvl w:val="0"/>
          <w:numId w:val="6"/>
        </w:numPr>
      </w:pPr>
      <w:r w:rsidRPr="00975586">
        <w:t>To support the completion of the landmark 100,000 Genomes Project </w:t>
      </w:r>
    </w:p>
    <w:p w14:paraId="6DD76472" w14:textId="77777777" w:rsidR="00975586" w:rsidRPr="00975586" w:rsidRDefault="00975586" w:rsidP="00975586">
      <w:pPr>
        <w:numPr>
          <w:ilvl w:val="0"/>
          <w:numId w:val="7"/>
        </w:numPr>
      </w:pPr>
      <w:r w:rsidRPr="00975586">
        <w:t>To provide the best education opportunities in genomics for the NHS workforce  </w:t>
      </w:r>
    </w:p>
    <w:p w14:paraId="7B355A07" w14:textId="77777777" w:rsidR="00975586" w:rsidRPr="00975586" w:rsidRDefault="00975586" w:rsidP="00975586">
      <w:pPr>
        <w:numPr>
          <w:ilvl w:val="0"/>
          <w:numId w:val="8"/>
        </w:numPr>
      </w:pPr>
      <w:r w:rsidRPr="00975586">
        <w:t>To develop strategic collaborations to keep the UK at the forefront of genomics in healthcare  </w:t>
      </w:r>
    </w:p>
    <w:p w14:paraId="48CBBF0B" w14:textId="77777777" w:rsidR="00975586" w:rsidRPr="00975586" w:rsidRDefault="00975586" w:rsidP="00975586">
      <w:r w:rsidRPr="00975586">
        <w:t xml:space="preserve"> Source: </w:t>
      </w:r>
      <w:hyperlink r:id="rId6" w:tgtFrame="_blank" w:history="1">
        <w:r w:rsidRPr="00975586">
          <w:rPr>
            <w:rStyle w:val="Hyperlink"/>
          </w:rPr>
          <w:t>https://www.genomicseducation.hee.nhs.uk/about-us/</w:t>
        </w:r>
      </w:hyperlink>
      <w:r w:rsidRPr="00975586">
        <w:t> </w:t>
      </w:r>
    </w:p>
    <w:p w14:paraId="5A0871A6" w14:textId="77777777" w:rsidR="00975586" w:rsidRDefault="00975586"/>
    <w:p w14:paraId="64B0D6A9" w14:textId="7E107FEC" w:rsidR="0025255B" w:rsidRDefault="00975586" w:rsidP="00975586">
      <w:pPr>
        <w:pStyle w:val="ListParagraph"/>
        <w:numPr>
          <w:ilvl w:val="0"/>
          <w:numId w:val="9"/>
        </w:numPr>
      </w:pPr>
      <w:r w:rsidRPr="00975586">
        <w:t>Please share your views about what the GEP does well to meet their current objectives.</w:t>
      </w:r>
    </w:p>
    <w:p w14:paraId="7F482FC2" w14:textId="77777777" w:rsidR="00975586" w:rsidRDefault="00975586"/>
    <w:p w14:paraId="33EC3366" w14:textId="77777777" w:rsidR="00975586" w:rsidRPr="00975586" w:rsidRDefault="00975586" w:rsidP="00975586">
      <w:r w:rsidRPr="00975586">
        <w:t>This call for written evidence addresses the role of the Genomics Education Programme (GEP), the future education and training needs of the genomic workforce, its alignment with NHS workforce requirements and the recently announced three strategic shifts guiding the NHS’s future direction, outlined below:   </w:t>
      </w:r>
    </w:p>
    <w:p w14:paraId="077C8CD3" w14:textId="77777777" w:rsidR="00975586" w:rsidRPr="00975586" w:rsidRDefault="00975586" w:rsidP="00975586">
      <w:pPr>
        <w:numPr>
          <w:ilvl w:val="0"/>
          <w:numId w:val="3"/>
        </w:numPr>
      </w:pPr>
      <w:r w:rsidRPr="00975586">
        <w:rPr>
          <w:b/>
          <w:bCs/>
        </w:rPr>
        <w:t>From Hospital to Community:</w:t>
      </w:r>
      <w:r w:rsidRPr="00975586">
        <w:t> Prioritising services outside of hospitals, such as primary and community care, to support people before they need hospital treatment</w:t>
      </w:r>
    </w:p>
    <w:p w14:paraId="50333A0B" w14:textId="77777777" w:rsidR="00975586" w:rsidRPr="00975586" w:rsidRDefault="00975586" w:rsidP="00975586">
      <w:pPr>
        <w:numPr>
          <w:ilvl w:val="0"/>
          <w:numId w:val="3"/>
        </w:numPr>
      </w:pPr>
      <w:r w:rsidRPr="00975586">
        <w:rPr>
          <w:b/>
          <w:bCs/>
        </w:rPr>
        <w:t>From Analogue to Digital:</w:t>
      </w:r>
      <w:r w:rsidRPr="00975586">
        <w:t> Embracing digital transformation to improve efficiency, patient care, and access to services</w:t>
      </w:r>
    </w:p>
    <w:p w14:paraId="58468519" w14:textId="77777777" w:rsidR="00975586" w:rsidRPr="00975586" w:rsidRDefault="00975586" w:rsidP="00975586">
      <w:pPr>
        <w:numPr>
          <w:ilvl w:val="0"/>
          <w:numId w:val="4"/>
        </w:numPr>
      </w:pPr>
      <w:r w:rsidRPr="00975586">
        <w:rPr>
          <w:b/>
          <w:bCs/>
        </w:rPr>
        <w:t>From Treatment to Prevention: </w:t>
      </w:r>
      <w:r w:rsidRPr="00975586">
        <w:t>Focusing on public health strategies that prevent illness and keep people healthy in the first place</w:t>
      </w:r>
    </w:p>
    <w:p w14:paraId="03BA931E" w14:textId="246CE667" w:rsidR="00975586" w:rsidRDefault="00975586" w:rsidP="00975586">
      <w:pPr>
        <w:rPr>
          <w:b/>
          <w:bCs/>
        </w:rPr>
      </w:pPr>
      <w:r w:rsidRPr="00975586">
        <w:br/>
      </w:r>
      <w:r w:rsidRPr="00975586">
        <w:rPr>
          <w:b/>
          <w:bCs/>
        </w:rPr>
        <w:t xml:space="preserve">Please answer the following questions succinctly from the perspective of your organisation or your own perspective. We would be grateful if you could answer as </w:t>
      </w:r>
      <w:r w:rsidRPr="00975586">
        <w:rPr>
          <w:b/>
          <w:bCs/>
        </w:rPr>
        <w:lastRenderedPageBreak/>
        <w:t>many questions as possible.</w:t>
      </w:r>
      <w:r w:rsidRPr="00975586">
        <w:rPr>
          <w:b/>
          <w:bCs/>
        </w:rPr>
        <w:br/>
      </w:r>
      <w:r w:rsidRPr="00975586">
        <w:rPr>
          <w:b/>
          <w:bCs/>
        </w:rPr>
        <w:br/>
        <w:t>Thinking about NHS requirements over the next 5 – 10 years and the NHS three strategic shifts, please succinctly share your views about: </w:t>
      </w:r>
    </w:p>
    <w:p w14:paraId="5E3A899D" w14:textId="12488960" w:rsidR="00975586" w:rsidRDefault="00975586" w:rsidP="00975586">
      <w:pPr>
        <w:pStyle w:val="ListParagraph"/>
        <w:numPr>
          <w:ilvl w:val="0"/>
          <w:numId w:val="9"/>
        </w:numPr>
      </w:pPr>
      <w:r w:rsidRPr="00975586">
        <w:t xml:space="preserve">Your vision for how the GEP can support the transformation of the NHS workforce to adapt and change to meet the requirements of the NHS three strategic shifts, </w:t>
      </w:r>
      <w:proofErr w:type="gramStart"/>
      <w:r w:rsidRPr="00975586">
        <w:t>in particular in</w:t>
      </w:r>
      <w:proofErr w:type="gramEnd"/>
      <w:r w:rsidRPr="00975586">
        <w:t xml:space="preserve"> Genomics.</w:t>
      </w:r>
    </w:p>
    <w:p w14:paraId="0221A5CD" w14:textId="77777777" w:rsidR="00B22E5B" w:rsidRDefault="00B22E5B" w:rsidP="00B22E5B">
      <w:pPr>
        <w:pStyle w:val="ListParagraph"/>
      </w:pPr>
    </w:p>
    <w:tbl>
      <w:tblPr>
        <w:tblStyle w:val="TableGrid"/>
        <w:tblW w:w="0" w:type="auto"/>
        <w:tblInd w:w="720" w:type="dxa"/>
        <w:tblLook w:val="04A0" w:firstRow="1" w:lastRow="0" w:firstColumn="1" w:lastColumn="0" w:noHBand="0" w:noVBand="1"/>
      </w:tblPr>
      <w:tblGrid>
        <w:gridCol w:w="8296"/>
      </w:tblGrid>
      <w:tr w:rsidR="00C27CF8" w14:paraId="4C2C434B" w14:textId="77777777" w:rsidTr="00C27CF8">
        <w:trPr>
          <w:trHeight w:val="810"/>
        </w:trPr>
        <w:tc>
          <w:tcPr>
            <w:tcW w:w="9016" w:type="dxa"/>
          </w:tcPr>
          <w:p w14:paraId="7BDCC7B2" w14:textId="77777777" w:rsidR="00C27CF8" w:rsidRPr="00C27CF8" w:rsidRDefault="00C27CF8" w:rsidP="00C27CF8">
            <w:pPr>
              <w:pStyle w:val="ListParagraph"/>
              <w:rPr>
                <w:rFonts w:ascii="Calibri" w:hAnsi="Calibri" w:cs="Calibri"/>
                <w:i/>
                <w:iCs/>
              </w:rPr>
            </w:pPr>
            <w:r w:rsidRPr="00C27CF8">
              <w:rPr>
                <w:rFonts w:ascii="Calibri" w:hAnsi="Calibri" w:cs="Calibri"/>
                <w:i/>
                <w:iCs/>
              </w:rPr>
              <w:t>The development and application of pharmacogenomics (PGx) in clinical practice is an expanding area in healthcare which aligns with national and NHS priorities across Great Britain (GB).</w:t>
            </w:r>
            <w:r w:rsidRPr="00C27CF8">
              <w:rPr>
                <w:rFonts w:ascii="Calibri" w:hAnsi="Calibri" w:cs="Calibri"/>
                <w:i/>
                <w:iCs/>
                <w:vertAlign w:val="superscript"/>
              </w:rPr>
              <w:t xml:space="preserve"> </w:t>
            </w:r>
            <w:r w:rsidRPr="00C27CF8">
              <w:rPr>
                <w:rFonts w:ascii="Calibri" w:hAnsi="Calibri" w:cs="Calibri"/>
                <w:i/>
                <w:iCs/>
              </w:rPr>
              <w:t xml:space="preserve">Pharmacists are medicines experts with a background of scientific training and are therefore well-equipped to play an integral part in the development of PGx. From system leadership to implementation of services, pharmacists can tailor and personalise the prescribing of medicines based on genetic information.  </w:t>
            </w:r>
          </w:p>
          <w:p w14:paraId="5FE5EEA6" w14:textId="77777777" w:rsidR="00C27CF8" w:rsidRPr="00C27CF8" w:rsidRDefault="00C27CF8" w:rsidP="00C27CF8">
            <w:pPr>
              <w:pStyle w:val="ListParagraph"/>
              <w:rPr>
                <w:rFonts w:ascii="Calibri" w:hAnsi="Calibri" w:cs="Calibri"/>
                <w:i/>
                <w:iCs/>
              </w:rPr>
            </w:pPr>
            <w:r w:rsidRPr="00C27CF8">
              <w:rPr>
                <w:rFonts w:ascii="Calibri" w:hAnsi="Calibri" w:cs="Calibri"/>
                <w:i/>
                <w:iCs/>
              </w:rPr>
              <w:t xml:space="preserve">At the Royal Pharmaceutical Society, we have already set out thorough our policy work the recommendations needed to support pharmacy and pharmacogenomic implementation across healthcare systems. These </w:t>
            </w:r>
            <w:proofErr w:type="gramStart"/>
            <w:r w:rsidRPr="00C27CF8">
              <w:rPr>
                <w:rFonts w:ascii="Calibri" w:hAnsi="Calibri" w:cs="Calibri"/>
                <w:i/>
                <w:iCs/>
              </w:rPr>
              <w:t>include;</w:t>
            </w:r>
            <w:proofErr w:type="gramEnd"/>
          </w:p>
          <w:p w14:paraId="1301413B" w14:textId="77777777" w:rsidR="00C27CF8" w:rsidRPr="00C27CF8" w:rsidRDefault="00C27CF8" w:rsidP="00C27CF8">
            <w:pPr>
              <w:pStyle w:val="ListParagraph"/>
              <w:numPr>
                <w:ilvl w:val="0"/>
                <w:numId w:val="10"/>
              </w:numPr>
              <w:rPr>
                <w:rFonts w:ascii="Calibri" w:hAnsi="Calibri" w:cs="Calibri"/>
                <w:i/>
                <w:iCs/>
              </w:rPr>
            </w:pPr>
            <w:r w:rsidRPr="00C27CF8">
              <w:rPr>
                <w:rFonts w:ascii="Calibri" w:hAnsi="Calibri" w:cs="Calibri"/>
                <w:i/>
                <w:iCs/>
              </w:rPr>
              <w:t>To ensure that pharmacy teams are integrated into the PGx multidisciplinary teams and provide clinical and professional leadership within clinical PGx delivery across England, Scotland and Wales.</w:t>
            </w:r>
          </w:p>
          <w:p w14:paraId="32302FA1" w14:textId="77777777" w:rsidR="00C27CF8" w:rsidRPr="00C27CF8" w:rsidRDefault="00C27CF8" w:rsidP="00C27CF8">
            <w:pPr>
              <w:pStyle w:val="ListParagraph"/>
              <w:numPr>
                <w:ilvl w:val="0"/>
                <w:numId w:val="10"/>
              </w:numPr>
              <w:rPr>
                <w:rFonts w:ascii="Calibri" w:hAnsi="Calibri" w:cs="Calibri"/>
                <w:i/>
                <w:iCs/>
              </w:rPr>
            </w:pPr>
            <w:r w:rsidRPr="00C27CF8">
              <w:rPr>
                <w:rFonts w:ascii="Calibri" w:hAnsi="Calibri" w:cs="Calibri"/>
                <w:i/>
                <w:iCs/>
              </w:rPr>
              <w:t>A comprehensive workforce strategy and fully resourced genomics education and training should be provided at all stages of pharmacy education. This must be related to clinical PGx competency requirements in line with all multidisciplinary professionals involved in delivery of PGx. This should involve:</w:t>
            </w:r>
          </w:p>
          <w:p w14:paraId="7D9FF9FE" w14:textId="77777777" w:rsidR="00C27CF8" w:rsidRPr="00C27CF8" w:rsidRDefault="00C27CF8" w:rsidP="00C27CF8">
            <w:pPr>
              <w:pStyle w:val="ListParagraph"/>
              <w:numPr>
                <w:ilvl w:val="1"/>
                <w:numId w:val="10"/>
              </w:numPr>
              <w:rPr>
                <w:rFonts w:ascii="Calibri" w:hAnsi="Calibri" w:cs="Calibri"/>
                <w:i/>
                <w:iCs/>
              </w:rPr>
            </w:pPr>
            <w:r w:rsidRPr="00C27CF8">
              <w:rPr>
                <w:rFonts w:ascii="Calibri" w:hAnsi="Calibri" w:cs="Calibri"/>
                <w:i/>
                <w:iCs/>
              </w:rPr>
              <w:t>Integrating comprehensive PGx training (including aspects of PGx implementation) into undergraduate curriculum for pharmacy students</w:t>
            </w:r>
          </w:p>
          <w:p w14:paraId="7D46828D" w14:textId="77777777" w:rsidR="00C27CF8" w:rsidRDefault="00C27CF8" w:rsidP="00C27CF8">
            <w:pPr>
              <w:pStyle w:val="ListParagraph"/>
              <w:numPr>
                <w:ilvl w:val="1"/>
                <w:numId w:val="10"/>
              </w:numPr>
              <w:rPr>
                <w:rFonts w:ascii="Calibri" w:hAnsi="Calibri" w:cs="Calibri"/>
                <w:i/>
                <w:iCs/>
              </w:rPr>
            </w:pPr>
            <w:r w:rsidRPr="00C27CF8">
              <w:rPr>
                <w:rFonts w:ascii="Calibri" w:hAnsi="Calibri" w:cs="Calibri"/>
                <w:i/>
                <w:iCs/>
              </w:rPr>
              <w:t>Addressing the various levels of postgraduate genomics knowledge and understanding needed by pharmacy professional’s dependent on their role in PGx delivery.</w:t>
            </w:r>
          </w:p>
          <w:p w14:paraId="678F9649" w14:textId="77777777" w:rsidR="00C27CF8" w:rsidRPr="00C27CF8" w:rsidRDefault="00C27CF8" w:rsidP="00C27CF8">
            <w:pPr>
              <w:pStyle w:val="ListParagraph"/>
              <w:ind w:left="1800"/>
              <w:rPr>
                <w:rFonts w:ascii="Calibri" w:hAnsi="Calibri" w:cs="Calibri"/>
                <w:i/>
                <w:iCs/>
              </w:rPr>
            </w:pPr>
          </w:p>
          <w:p w14:paraId="150B500A" w14:textId="77777777" w:rsidR="00C27CF8" w:rsidRPr="00C27CF8" w:rsidRDefault="00C27CF8" w:rsidP="00C27CF8">
            <w:pPr>
              <w:ind w:left="720"/>
              <w:rPr>
                <w:rFonts w:ascii="Calibri" w:eastAsia="Aptos" w:hAnsi="Calibri" w:cs="Calibri"/>
                <w:i/>
                <w:iCs/>
                <w:sz w:val="20"/>
                <w:szCs w:val="20"/>
              </w:rPr>
            </w:pPr>
            <w:r w:rsidRPr="00C27CF8">
              <w:rPr>
                <w:rFonts w:ascii="Calibri" w:eastAsia="Aptos" w:hAnsi="Calibri" w:cs="Calibri"/>
                <w:i/>
                <w:iCs/>
              </w:rPr>
              <w:t>The developments in Advanced therapy medicinal products (ATMPs) and pharmacogenomics are fundamental to future prevention. Pharmacogenomics will help harness patients’ genetic information to tailor treatments, optimise dosing, and reduce adverse effects, turning precision medicine into a daily practice. The NHS has already seen the significant potential from Clopidogrel</w:t>
            </w:r>
            <w:hyperlink r:id="rId7" w:anchor="_ftn1">
              <w:r w:rsidRPr="00C27CF8">
                <w:rPr>
                  <w:rStyle w:val="Hyperlink"/>
                  <w:rFonts w:ascii="Calibri" w:eastAsia="Aptos" w:hAnsi="Calibri" w:cs="Calibri"/>
                  <w:i/>
                  <w:iCs/>
                  <w:color w:val="auto"/>
                  <w:vertAlign w:val="superscript"/>
                </w:rPr>
                <w:t>[1]</w:t>
              </w:r>
            </w:hyperlink>
            <w:r w:rsidRPr="00C27CF8">
              <w:rPr>
                <w:rFonts w:ascii="Calibri" w:eastAsia="Aptos" w:hAnsi="Calibri" w:cs="Calibri"/>
                <w:i/>
                <w:iCs/>
              </w:rPr>
              <w:t>. Additionally, by embedding pharmacy professionals at the forefront of innovative clinical research/trials, the NHS could bring new treatments to people faster, refine preventative therapies, and contribute vital knowledge to the healthcare community.</w:t>
            </w:r>
          </w:p>
          <w:p w14:paraId="6E0A4A00" w14:textId="77777777" w:rsidR="00C27CF8" w:rsidRPr="00C27CF8" w:rsidRDefault="00C27CF8" w:rsidP="00C27CF8">
            <w:pPr>
              <w:pStyle w:val="ListParagraph"/>
              <w:rPr>
                <w:rFonts w:ascii="Calibri" w:hAnsi="Calibri" w:cs="Calibri"/>
                <w:i/>
                <w:iCs/>
              </w:rPr>
            </w:pPr>
          </w:p>
          <w:p w14:paraId="1BC5CEF3" w14:textId="77777777" w:rsidR="00C27CF8" w:rsidRPr="00C27CF8" w:rsidRDefault="00C27CF8" w:rsidP="00C27CF8">
            <w:pPr>
              <w:rPr>
                <w:rFonts w:ascii="Calibri" w:hAnsi="Calibri" w:cs="Calibri"/>
                <w:i/>
                <w:iCs/>
              </w:rPr>
            </w:pPr>
          </w:p>
          <w:p w14:paraId="0EA0F7F4" w14:textId="77777777" w:rsidR="00C27CF8" w:rsidRDefault="00C27CF8" w:rsidP="00C27CF8">
            <w:hyperlink r:id="rId8" w:anchor="_ftnref1">
              <w:r w:rsidRPr="00C27CF8">
                <w:rPr>
                  <w:rStyle w:val="Hyperlink"/>
                  <w:rFonts w:ascii="Calibri" w:eastAsia="Aptos" w:hAnsi="Calibri" w:cs="Calibri"/>
                  <w:i/>
                  <w:iCs/>
                  <w:color w:val="auto"/>
                  <w:sz w:val="20"/>
                  <w:szCs w:val="20"/>
                  <w:vertAlign w:val="superscript"/>
                </w:rPr>
                <w:t>[1]</w:t>
              </w:r>
            </w:hyperlink>
            <w:r w:rsidRPr="00C27CF8">
              <w:rPr>
                <w:rFonts w:ascii="Calibri" w:eastAsia="Aptos" w:hAnsi="Calibri" w:cs="Calibri"/>
                <w:i/>
                <w:iCs/>
                <w:sz w:val="20"/>
                <w:szCs w:val="20"/>
              </w:rPr>
              <w:t xml:space="preserve"> </w:t>
            </w:r>
            <w:hyperlink r:id="rId9">
              <w:r w:rsidRPr="00C27CF8">
                <w:rPr>
                  <w:rStyle w:val="Hyperlink"/>
                  <w:rFonts w:ascii="Calibri" w:eastAsia="Aptos" w:hAnsi="Calibri" w:cs="Calibri"/>
                  <w:i/>
                  <w:iCs/>
                  <w:color w:val="auto"/>
                  <w:sz w:val="20"/>
                  <w:szCs w:val="20"/>
                </w:rPr>
                <w:t>https://www.genomicseducation.hee.nhs.uk/genotes/knowledge-hub/clopidogrel/</w:t>
              </w:r>
            </w:hyperlink>
          </w:p>
          <w:p w14:paraId="06B79719" w14:textId="77777777" w:rsidR="00C27CF8" w:rsidRDefault="00C27CF8" w:rsidP="205AED94">
            <w:pPr>
              <w:pStyle w:val="ListParagraph"/>
              <w:ind w:left="0"/>
              <w:rPr>
                <w:rFonts w:ascii="Calibri" w:hAnsi="Calibri" w:cs="Calibri"/>
                <w:i/>
                <w:iCs/>
              </w:rPr>
            </w:pPr>
          </w:p>
        </w:tc>
      </w:tr>
    </w:tbl>
    <w:p w14:paraId="693280EA" w14:textId="038B6661" w:rsidR="009D7E0F" w:rsidRPr="00B22E5B" w:rsidRDefault="009D7E0F" w:rsidP="4404EF81">
      <w:pPr>
        <w:spacing w:after="0"/>
        <w:rPr>
          <w:rFonts w:ascii="Aptos" w:eastAsia="Aptos" w:hAnsi="Aptos" w:cs="Aptos"/>
          <w:sz w:val="20"/>
          <w:szCs w:val="20"/>
        </w:rPr>
      </w:pPr>
    </w:p>
    <w:p w14:paraId="7E5877A3" w14:textId="77777777" w:rsidR="00975586" w:rsidRDefault="00975586" w:rsidP="00975586"/>
    <w:p w14:paraId="59F53C10" w14:textId="458D201A" w:rsidR="00975586" w:rsidRDefault="00975586" w:rsidP="00975586">
      <w:pPr>
        <w:pStyle w:val="ListParagraph"/>
        <w:numPr>
          <w:ilvl w:val="0"/>
          <w:numId w:val="9"/>
        </w:numPr>
      </w:pPr>
      <w:r w:rsidRPr="00975586">
        <w:t>Your vision for how the GEP in partnership with stakeholders and educational providers can deliver high quality education and training to meet future NHS service needs. </w:t>
      </w:r>
    </w:p>
    <w:tbl>
      <w:tblPr>
        <w:tblStyle w:val="TableGrid"/>
        <w:tblW w:w="0" w:type="auto"/>
        <w:tblInd w:w="720" w:type="dxa"/>
        <w:tblLook w:val="04A0" w:firstRow="1" w:lastRow="0" w:firstColumn="1" w:lastColumn="0" w:noHBand="0" w:noVBand="1"/>
      </w:tblPr>
      <w:tblGrid>
        <w:gridCol w:w="8296"/>
      </w:tblGrid>
      <w:tr w:rsidR="00C27CF8" w14:paraId="4575138A" w14:textId="77777777" w:rsidTr="00C27CF8">
        <w:tc>
          <w:tcPr>
            <w:tcW w:w="9016" w:type="dxa"/>
          </w:tcPr>
          <w:p w14:paraId="1028BBDE" w14:textId="77777777" w:rsidR="00C27CF8" w:rsidRPr="00C27CF8" w:rsidRDefault="00C27CF8" w:rsidP="00C27CF8">
            <w:pPr>
              <w:rPr>
                <w:rFonts w:ascii="Calibri" w:hAnsi="Calibri" w:cs="Calibri"/>
                <w:i/>
                <w:iCs/>
              </w:rPr>
            </w:pPr>
            <w:r w:rsidRPr="00C27CF8">
              <w:rPr>
                <w:rFonts w:ascii="Calibri" w:hAnsi="Calibri" w:cs="Calibri"/>
                <w:i/>
                <w:iCs/>
              </w:rPr>
              <w:t xml:space="preserve">At the RPS we have developed, supported and lead on the implementation of the visions for Pharmacy across </w:t>
            </w:r>
            <w:hyperlink r:id="rId10" w:history="1">
              <w:r w:rsidRPr="00C27CF8">
                <w:rPr>
                  <w:rStyle w:val="Hyperlink"/>
                  <w:rFonts w:ascii="Calibri" w:hAnsi="Calibri" w:cs="Calibri"/>
                  <w:i/>
                  <w:iCs/>
                  <w:color w:val="auto"/>
                </w:rPr>
                <w:t>England</w:t>
              </w:r>
            </w:hyperlink>
            <w:r w:rsidRPr="00C27CF8">
              <w:rPr>
                <w:rFonts w:ascii="Calibri" w:hAnsi="Calibri" w:cs="Calibri"/>
                <w:i/>
                <w:iCs/>
              </w:rPr>
              <w:t xml:space="preserve">, </w:t>
            </w:r>
            <w:hyperlink r:id="rId11" w:history="1">
              <w:r w:rsidRPr="00C27CF8">
                <w:rPr>
                  <w:rStyle w:val="Hyperlink"/>
                  <w:rFonts w:ascii="Calibri" w:hAnsi="Calibri" w:cs="Calibri"/>
                  <w:i/>
                  <w:iCs/>
                  <w:color w:val="auto"/>
                </w:rPr>
                <w:t>Wales</w:t>
              </w:r>
            </w:hyperlink>
            <w:r w:rsidRPr="00C27CF8">
              <w:rPr>
                <w:rFonts w:ascii="Calibri" w:hAnsi="Calibri" w:cs="Calibri"/>
                <w:i/>
                <w:iCs/>
              </w:rPr>
              <w:t xml:space="preserve"> and </w:t>
            </w:r>
            <w:hyperlink r:id="rId12" w:history="1">
              <w:r w:rsidRPr="00C27CF8">
                <w:rPr>
                  <w:rStyle w:val="Hyperlink"/>
                  <w:rFonts w:ascii="Calibri" w:hAnsi="Calibri" w:cs="Calibri"/>
                  <w:i/>
                  <w:iCs/>
                  <w:color w:val="auto"/>
                </w:rPr>
                <w:t>Scotland</w:t>
              </w:r>
            </w:hyperlink>
            <w:r w:rsidRPr="00C27CF8">
              <w:rPr>
                <w:rFonts w:ascii="Calibri" w:hAnsi="Calibri" w:cs="Calibri"/>
                <w:i/>
                <w:iCs/>
              </w:rPr>
              <w:t>. All three visions highlight the leading role the profession will play in pharmacogenomics, utilising their clinical skills and being a natural extension of current roles.</w:t>
            </w:r>
          </w:p>
          <w:p w14:paraId="05BBDDD6" w14:textId="77777777" w:rsidR="00C27CF8" w:rsidRPr="00C27CF8" w:rsidRDefault="00C27CF8" w:rsidP="00C27CF8">
            <w:pPr>
              <w:rPr>
                <w:rFonts w:ascii="Calibri" w:hAnsi="Calibri" w:cs="Calibri"/>
                <w:i/>
                <w:iCs/>
              </w:rPr>
            </w:pPr>
          </w:p>
          <w:p w14:paraId="133A1856" w14:textId="77777777" w:rsidR="00C27CF8" w:rsidRPr="00C27CF8" w:rsidRDefault="00C27CF8" w:rsidP="00C27CF8">
            <w:pPr>
              <w:rPr>
                <w:rFonts w:ascii="Calibri" w:hAnsi="Calibri" w:cs="Calibri"/>
                <w:i/>
                <w:iCs/>
              </w:rPr>
            </w:pPr>
            <w:r w:rsidRPr="00C27CF8">
              <w:rPr>
                <w:rFonts w:ascii="Calibri" w:hAnsi="Calibri" w:cs="Calibri"/>
                <w:i/>
                <w:iCs/>
              </w:rPr>
              <w:t>At the Royal Pharmaceutical Society, we have extensive examples of collaborative partnerships with stakeholders and organisations, to deliver educational content that supports the profession in delivering NHS services and improving service delivery. This type of model is something we would be extremely keen to explore with GEP in the future, to support healthcare professionals meeting the needs of the NHS in delivering of genomic services across all settings.</w:t>
            </w:r>
          </w:p>
          <w:p w14:paraId="1D243A41" w14:textId="77777777" w:rsidR="00C27CF8" w:rsidRDefault="00C27CF8" w:rsidP="00C27CF8">
            <w:pPr>
              <w:pStyle w:val="ListParagraph"/>
            </w:pPr>
          </w:p>
          <w:p w14:paraId="2F9F5FBE" w14:textId="77777777" w:rsidR="00C27CF8" w:rsidRDefault="00C27CF8" w:rsidP="00C27CF8">
            <w:pPr>
              <w:pStyle w:val="ListParagraph"/>
            </w:pPr>
          </w:p>
          <w:p w14:paraId="21DD64E9" w14:textId="77777777" w:rsidR="00C27CF8" w:rsidRDefault="00C27CF8" w:rsidP="00C27CF8">
            <w:pPr>
              <w:pStyle w:val="ListParagraph"/>
            </w:pPr>
          </w:p>
        </w:tc>
      </w:tr>
    </w:tbl>
    <w:p w14:paraId="34592727" w14:textId="77777777" w:rsidR="00B22E5B" w:rsidRDefault="00B22E5B" w:rsidP="00B22E5B">
      <w:pPr>
        <w:pStyle w:val="ListParagraph"/>
      </w:pPr>
    </w:p>
    <w:p w14:paraId="591E5AFB" w14:textId="77777777" w:rsidR="009D7797" w:rsidRPr="00C27CF8" w:rsidRDefault="009D7797" w:rsidP="00B22E5B">
      <w:pPr>
        <w:pStyle w:val="ListParagraph"/>
        <w:rPr>
          <w:rFonts w:ascii="Calibri" w:hAnsi="Calibri" w:cs="Calibri"/>
          <w:i/>
          <w:iCs/>
        </w:rPr>
      </w:pPr>
    </w:p>
    <w:p w14:paraId="11E26FFB" w14:textId="77777777" w:rsidR="006D47AB" w:rsidRDefault="006D47AB" w:rsidP="00B22E5B">
      <w:pPr>
        <w:pStyle w:val="ListParagraph"/>
        <w:rPr>
          <w:color w:val="FF0000"/>
        </w:rPr>
      </w:pPr>
    </w:p>
    <w:p w14:paraId="5D1A02D5" w14:textId="0A3F7735" w:rsidR="00975586" w:rsidRDefault="00975586" w:rsidP="00975586">
      <w:pPr>
        <w:pStyle w:val="ListParagraph"/>
        <w:numPr>
          <w:ilvl w:val="0"/>
          <w:numId w:val="9"/>
        </w:numPr>
      </w:pPr>
      <w:r w:rsidRPr="00975586">
        <w:t>How the GEP can integrate with partner organisations to support the education of the future workforce in Genomics e.g. with Medical Royal Colleges, Royal College Nursing, Allied Health Professionals, Pharmacists, Postgraduate Deans and Higher Education Institutions</w:t>
      </w:r>
    </w:p>
    <w:p w14:paraId="6B4A3293" w14:textId="77777777" w:rsidR="00C27CF8" w:rsidRDefault="00C27CF8" w:rsidP="00C27CF8">
      <w:pPr>
        <w:pStyle w:val="ListParagraph"/>
      </w:pPr>
    </w:p>
    <w:tbl>
      <w:tblPr>
        <w:tblStyle w:val="TableGrid"/>
        <w:tblW w:w="0" w:type="auto"/>
        <w:tblInd w:w="720" w:type="dxa"/>
        <w:tblLook w:val="04A0" w:firstRow="1" w:lastRow="0" w:firstColumn="1" w:lastColumn="0" w:noHBand="0" w:noVBand="1"/>
      </w:tblPr>
      <w:tblGrid>
        <w:gridCol w:w="8296"/>
      </w:tblGrid>
      <w:tr w:rsidR="00C27CF8" w14:paraId="4C9EFA55" w14:textId="77777777" w:rsidTr="00C27CF8">
        <w:tc>
          <w:tcPr>
            <w:tcW w:w="9016" w:type="dxa"/>
          </w:tcPr>
          <w:p w14:paraId="3950E92B" w14:textId="77777777" w:rsidR="00C27CF8" w:rsidRPr="00C27CF8" w:rsidRDefault="00C27CF8" w:rsidP="00C27CF8">
            <w:pPr>
              <w:rPr>
                <w:rFonts w:ascii="Calibri" w:hAnsi="Calibri" w:cs="Calibri"/>
                <w:i/>
                <w:iCs/>
              </w:rPr>
            </w:pPr>
            <w:r w:rsidRPr="00C27CF8">
              <w:rPr>
                <w:rFonts w:ascii="Calibri" w:hAnsi="Calibri" w:cs="Calibri"/>
                <w:i/>
                <w:iCs/>
              </w:rPr>
              <w:t>At the Royal Pharmaceutical Society, we have committed through our policy work to</w:t>
            </w:r>
          </w:p>
          <w:p w14:paraId="700DE093" w14:textId="77777777" w:rsidR="00C27CF8" w:rsidRPr="00C27CF8" w:rsidRDefault="00C27CF8" w:rsidP="00C27CF8">
            <w:pPr>
              <w:pStyle w:val="ListParagraph"/>
              <w:numPr>
                <w:ilvl w:val="0"/>
                <w:numId w:val="11"/>
              </w:numPr>
              <w:rPr>
                <w:rFonts w:ascii="Calibri" w:hAnsi="Calibri" w:cs="Calibri"/>
                <w:i/>
                <w:iCs/>
              </w:rPr>
            </w:pPr>
            <w:r w:rsidRPr="00C27CF8">
              <w:rPr>
                <w:rFonts w:ascii="Calibri" w:hAnsi="Calibri" w:cs="Calibri"/>
                <w:i/>
                <w:iCs/>
              </w:rPr>
              <w:t>Working with other multi-professionals and national organisations to ensure patients are at the centre of our approach to the implementation of Pharmacogenomics.</w:t>
            </w:r>
          </w:p>
          <w:p w14:paraId="5F6D4BF4" w14:textId="77777777" w:rsidR="00C27CF8" w:rsidRPr="00C27CF8" w:rsidRDefault="00C27CF8" w:rsidP="00C27CF8">
            <w:pPr>
              <w:pStyle w:val="ListParagraph"/>
              <w:numPr>
                <w:ilvl w:val="0"/>
                <w:numId w:val="11"/>
              </w:numPr>
              <w:rPr>
                <w:rFonts w:ascii="Calibri" w:hAnsi="Calibri" w:cs="Calibri"/>
                <w:i/>
                <w:iCs/>
              </w:rPr>
            </w:pPr>
            <w:r w:rsidRPr="00C27CF8">
              <w:rPr>
                <w:rFonts w:ascii="Calibri" w:hAnsi="Calibri" w:cs="Calibri"/>
                <w:i/>
                <w:iCs/>
              </w:rPr>
              <w:t>Ensuring strong pharmacy leadership to establish pharmacy's role at the forefront of the Pharmacogenomics implementation by working with stakeholders across GB</w:t>
            </w:r>
          </w:p>
          <w:p w14:paraId="7F07C6D9" w14:textId="77777777" w:rsidR="00C27CF8" w:rsidRPr="00C27CF8" w:rsidRDefault="00C27CF8" w:rsidP="00C27CF8">
            <w:pPr>
              <w:pStyle w:val="ListParagraph"/>
              <w:rPr>
                <w:rFonts w:ascii="Calibri" w:hAnsi="Calibri" w:cs="Calibri"/>
                <w:i/>
                <w:iCs/>
              </w:rPr>
            </w:pPr>
          </w:p>
          <w:p w14:paraId="686472A8" w14:textId="77777777" w:rsidR="00C27CF8" w:rsidRPr="00C27CF8" w:rsidRDefault="00C27CF8" w:rsidP="00C27CF8">
            <w:pPr>
              <w:rPr>
                <w:rFonts w:ascii="Calibri" w:hAnsi="Calibri" w:cs="Calibri"/>
                <w:i/>
                <w:iCs/>
              </w:rPr>
            </w:pPr>
            <w:r w:rsidRPr="00C27CF8">
              <w:rPr>
                <w:rFonts w:ascii="Calibri" w:hAnsi="Calibri" w:cs="Calibri"/>
                <w:i/>
                <w:iCs/>
              </w:rPr>
              <w:t xml:space="preserve">The RPS has a very strong educational focus and delivers educational resources through a variety of medium to support our members. </w:t>
            </w:r>
          </w:p>
          <w:p w14:paraId="708F92BC" w14:textId="77777777" w:rsidR="00C27CF8" w:rsidRPr="00C27CF8" w:rsidRDefault="00C27CF8" w:rsidP="00C27CF8">
            <w:pPr>
              <w:pStyle w:val="ListParagraph"/>
              <w:rPr>
                <w:rFonts w:ascii="Calibri" w:hAnsi="Calibri" w:cs="Calibri"/>
                <w:i/>
                <w:iCs/>
              </w:rPr>
            </w:pPr>
          </w:p>
          <w:p w14:paraId="4EFD323A" w14:textId="77777777" w:rsidR="00C27CF8" w:rsidRPr="00C27CF8" w:rsidRDefault="00C27CF8" w:rsidP="00C27CF8">
            <w:pPr>
              <w:rPr>
                <w:rFonts w:ascii="Calibri" w:hAnsi="Calibri" w:cs="Calibri"/>
                <w:i/>
                <w:iCs/>
              </w:rPr>
            </w:pPr>
            <w:r w:rsidRPr="00C27CF8">
              <w:rPr>
                <w:rFonts w:ascii="Calibri" w:hAnsi="Calibri" w:cs="Calibri"/>
                <w:i/>
                <w:iCs/>
              </w:rPr>
              <w:t xml:space="preserve">We would warmly welcome future collaborative opportunities with the GEP to support the training and development of not only the pharmacy profession, but </w:t>
            </w:r>
            <w:r w:rsidRPr="00C27CF8">
              <w:rPr>
                <w:rFonts w:ascii="Calibri" w:hAnsi="Calibri" w:cs="Calibri"/>
                <w:i/>
                <w:iCs/>
              </w:rPr>
              <w:lastRenderedPageBreak/>
              <w:t>other healthcare professions as members of a multidisciplinary team. There should be opportunities for GEP to commission profession specific content development from the professional bodies or co-funding pieces of work which could be developed collaboratively.</w:t>
            </w:r>
          </w:p>
          <w:p w14:paraId="627CC5B1" w14:textId="77777777" w:rsidR="00C27CF8" w:rsidRPr="00C27CF8" w:rsidRDefault="00C27CF8" w:rsidP="00C27CF8">
            <w:pPr>
              <w:pStyle w:val="ListParagraph"/>
              <w:rPr>
                <w:rFonts w:ascii="Calibri" w:hAnsi="Calibri" w:cs="Calibri"/>
                <w:i/>
                <w:iCs/>
              </w:rPr>
            </w:pPr>
          </w:p>
          <w:p w14:paraId="67B90358" w14:textId="77777777" w:rsidR="00C27CF8" w:rsidRPr="00C27CF8" w:rsidRDefault="00C27CF8" w:rsidP="00C27CF8">
            <w:pPr>
              <w:rPr>
                <w:rFonts w:ascii="Calibri" w:hAnsi="Calibri" w:cs="Calibri"/>
                <w:i/>
                <w:iCs/>
              </w:rPr>
            </w:pPr>
            <w:r w:rsidRPr="00C27CF8">
              <w:rPr>
                <w:rFonts w:ascii="Calibri" w:hAnsi="Calibri" w:cs="Calibri"/>
                <w:i/>
                <w:iCs/>
              </w:rPr>
              <w:t>We already provide a range of resources and training materials for the profession through a series of webinars titled ‘</w:t>
            </w:r>
            <w:hyperlink r:id="rId13" w:history="1">
              <w:r w:rsidRPr="00C27CF8">
                <w:rPr>
                  <w:rStyle w:val="Hyperlink"/>
                  <w:rFonts w:ascii="Calibri" w:hAnsi="Calibri" w:cs="Calibri"/>
                  <w:i/>
                  <w:iCs/>
                  <w:color w:val="auto"/>
                </w:rPr>
                <w:t>demystifying pharmacogenomics’</w:t>
              </w:r>
            </w:hyperlink>
            <w:r w:rsidRPr="00C27CF8">
              <w:rPr>
                <w:rFonts w:ascii="Calibri" w:hAnsi="Calibri" w:cs="Calibri"/>
                <w:i/>
                <w:iCs/>
              </w:rPr>
              <w:t xml:space="preserve"> .</w:t>
            </w:r>
          </w:p>
          <w:p w14:paraId="3FC24453" w14:textId="77777777" w:rsidR="00C27CF8" w:rsidRPr="00C27CF8" w:rsidRDefault="00C27CF8" w:rsidP="00C27CF8">
            <w:pPr>
              <w:rPr>
                <w:rFonts w:ascii="Calibri" w:hAnsi="Calibri" w:cs="Calibri"/>
                <w:i/>
                <w:iCs/>
              </w:rPr>
            </w:pPr>
            <w:r w:rsidRPr="00C27CF8">
              <w:rPr>
                <w:rFonts w:ascii="Calibri" w:hAnsi="Calibri" w:cs="Calibri"/>
                <w:i/>
                <w:iCs/>
              </w:rPr>
              <w:t>We have a repository of links to other useful resources available for pharmacy professionals, including links to educational content from GEP.</w:t>
            </w:r>
          </w:p>
          <w:p w14:paraId="2613395A" w14:textId="77777777" w:rsidR="00C27CF8" w:rsidRDefault="00C27CF8" w:rsidP="003963F3">
            <w:pPr>
              <w:pStyle w:val="ListParagraph"/>
              <w:ind w:left="0"/>
            </w:pPr>
          </w:p>
          <w:p w14:paraId="77F9EB94" w14:textId="77777777" w:rsidR="00C27CF8" w:rsidRDefault="00C27CF8" w:rsidP="003963F3">
            <w:pPr>
              <w:pStyle w:val="ListParagraph"/>
              <w:ind w:left="0"/>
            </w:pPr>
          </w:p>
          <w:p w14:paraId="45E06567" w14:textId="77777777" w:rsidR="00C27CF8" w:rsidRDefault="00C27CF8" w:rsidP="003963F3">
            <w:pPr>
              <w:pStyle w:val="ListParagraph"/>
              <w:ind w:left="0"/>
            </w:pPr>
          </w:p>
        </w:tc>
      </w:tr>
    </w:tbl>
    <w:p w14:paraId="6E64FAC7" w14:textId="77777777" w:rsidR="003963F3" w:rsidRDefault="003963F3" w:rsidP="003963F3">
      <w:pPr>
        <w:pStyle w:val="ListParagraph"/>
      </w:pPr>
    </w:p>
    <w:p w14:paraId="1E0D95FB" w14:textId="77777777" w:rsidR="00975586" w:rsidRDefault="00975586" w:rsidP="001C5785"/>
    <w:p w14:paraId="5056B816" w14:textId="58DC7F54" w:rsidR="00975586" w:rsidRDefault="00975586" w:rsidP="00975586">
      <w:pPr>
        <w:pStyle w:val="ListParagraph"/>
        <w:numPr>
          <w:ilvl w:val="0"/>
          <w:numId w:val="9"/>
        </w:numPr>
      </w:pPr>
      <w:r w:rsidRPr="00975586">
        <w:t>How the GEP should work with the devolved administrations to enable a combined approach to Genomics education in the UK.  </w:t>
      </w:r>
    </w:p>
    <w:p w14:paraId="1B2AC62E" w14:textId="77777777" w:rsidR="00002BC7" w:rsidRDefault="00002BC7" w:rsidP="00002BC7">
      <w:pPr>
        <w:pStyle w:val="ListParagraph"/>
      </w:pPr>
    </w:p>
    <w:tbl>
      <w:tblPr>
        <w:tblStyle w:val="TableGrid"/>
        <w:tblW w:w="0" w:type="auto"/>
        <w:tblInd w:w="720" w:type="dxa"/>
        <w:tblLook w:val="04A0" w:firstRow="1" w:lastRow="0" w:firstColumn="1" w:lastColumn="0" w:noHBand="0" w:noVBand="1"/>
      </w:tblPr>
      <w:tblGrid>
        <w:gridCol w:w="8296"/>
      </w:tblGrid>
      <w:tr w:rsidR="00C27CF8" w14:paraId="0FE5ED59" w14:textId="77777777" w:rsidTr="00C27CF8">
        <w:tc>
          <w:tcPr>
            <w:tcW w:w="9016" w:type="dxa"/>
          </w:tcPr>
          <w:p w14:paraId="3300CA9D" w14:textId="77777777" w:rsidR="00C27CF8" w:rsidRDefault="00C27CF8" w:rsidP="00002BC7">
            <w:pPr>
              <w:pStyle w:val="ListParagraph"/>
              <w:ind w:left="0"/>
              <w:rPr>
                <w:rFonts w:ascii="Calibri" w:hAnsi="Calibri" w:cs="Calibri"/>
                <w:i/>
                <w:iCs/>
              </w:rPr>
            </w:pPr>
          </w:p>
          <w:p w14:paraId="1635209C" w14:textId="77777777" w:rsidR="00C27CF8" w:rsidRPr="00C27CF8" w:rsidRDefault="00C27CF8" w:rsidP="00C27CF8">
            <w:pPr>
              <w:rPr>
                <w:rFonts w:ascii="Calibri" w:hAnsi="Calibri" w:cs="Calibri"/>
                <w:i/>
                <w:iCs/>
              </w:rPr>
            </w:pPr>
            <w:r w:rsidRPr="00C27CF8">
              <w:rPr>
                <w:rFonts w:ascii="Calibri" w:hAnsi="Calibri" w:cs="Calibri"/>
                <w:i/>
                <w:iCs/>
              </w:rPr>
              <w:t xml:space="preserve">As previously outlined, at the RPS we have developed, supported and lead on the implementation of the visions for Pharmacy across </w:t>
            </w:r>
            <w:hyperlink r:id="rId14" w:history="1">
              <w:r w:rsidRPr="00C27CF8">
                <w:rPr>
                  <w:rStyle w:val="Hyperlink"/>
                  <w:rFonts w:ascii="Calibri" w:hAnsi="Calibri" w:cs="Calibri"/>
                  <w:i/>
                  <w:iCs/>
                  <w:color w:val="auto"/>
                </w:rPr>
                <w:t>England</w:t>
              </w:r>
            </w:hyperlink>
            <w:r w:rsidRPr="00C27CF8">
              <w:rPr>
                <w:rFonts w:ascii="Calibri" w:hAnsi="Calibri" w:cs="Calibri"/>
                <w:i/>
                <w:iCs/>
              </w:rPr>
              <w:t xml:space="preserve">, </w:t>
            </w:r>
            <w:hyperlink r:id="rId15" w:history="1">
              <w:r w:rsidRPr="00C27CF8">
                <w:rPr>
                  <w:rStyle w:val="Hyperlink"/>
                  <w:rFonts w:ascii="Calibri" w:hAnsi="Calibri" w:cs="Calibri"/>
                  <w:i/>
                  <w:iCs/>
                  <w:color w:val="auto"/>
                </w:rPr>
                <w:t>Wales</w:t>
              </w:r>
            </w:hyperlink>
            <w:r w:rsidRPr="00C27CF8">
              <w:rPr>
                <w:rFonts w:ascii="Calibri" w:hAnsi="Calibri" w:cs="Calibri"/>
                <w:i/>
                <w:iCs/>
              </w:rPr>
              <w:t xml:space="preserve"> and </w:t>
            </w:r>
            <w:hyperlink r:id="rId16" w:history="1">
              <w:r w:rsidRPr="00C27CF8">
                <w:rPr>
                  <w:rStyle w:val="Hyperlink"/>
                  <w:rFonts w:ascii="Calibri" w:hAnsi="Calibri" w:cs="Calibri"/>
                  <w:i/>
                  <w:iCs/>
                  <w:color w:val="auto"/>
                </w:rPr>
                <w:t>Scotland</w:t>
              </w:r>
            </w:hyperlink>
            <w:r w:rsidRPr="00C27CF8">
              <w:rPr>
                <w:rFonts w:ascii="Calibri" w:hAnsi="Calibri" w:cs="Calibri"/>
                <w:i/>
                <w:iCs/>
              </w:rPr>
              <w:t>. The three visions across the devolved nations highlight the leading role the profession will play in pharmacogenomics, utilising their clinical skills and being a natural extension of current roles.</w:t>
            </w:r>
          </w:p>
          <w:p w14:paraId="0F30C8C2" w14:textId="77777777" w:rsidR="00C27CF8" w:rsidRPr="00C27CF8" w:rsidRDefault="00C27CF8" w:rsidP="00C27CF8">
            <w:pPr>
              <w:pStyle w:val="ListParagraph"/>
              <w:rPr>
                <w:rFonts w:ascii="Calibri" w:hAnsi="Calibri" w:cs="Calibri"/>
                <w:i/>
                <w:iCs/>
              </w:rPr>
            </w:pPr>
          </w:p>
          <w:p w14:paraId="5D9263E9" w14:textId="77777777" w:rsidR="00C27CF8" w:rsidRPr="00C27CF8" w:rsidRDefault="00C27CF8" w:rsidP="00C27CF8">
            <w:pPr>
              <w:rPr>
                <w:rFonts w:ascii="Calibri" w:hAnsi="Calibri" w:cs="Calibri"/>
                <w:i/>
                <w:iCs/>
              </w:rPr>
            </w:pPr>
            <w:r w:rsidRPr="00C27CF8">
              <w:rPr>
                <w:rFonts w:ascii="Calibri" w:hAnsi="Calibri" w:cs="Calibri"/>
                <w:i/>
                <w:iCs/>
              </w:rPr>
              <w:t xml:space="preserve">It is essential that equity of access to development in medicines for patients across the GB nations is maintained, through working with policy makers, health committee’s and key stakeholders in each nation. </w:t>
            </w:r>
          </w:p>
          <w:p w14:paraId="540FCCA4" w14:textId="77777777" w:rsidR="00C27CF8" w:rsidRPr="00C27CF8" w:rsidRDefault="00C27CF8" w:rsidP="00C27CF8">
            <w:pPr>
              <w:pStyle w:val="ListParagraph"/>
              <w:rPr>
                <w:rFonts w:ascii="Calibri" w:hAnsi="Calibri" w:cs="Calibri"/>
                <w:i/>
                <w:iCs/>
              </w:rPr>
            </w:pPr>
          </w:p>
          <w:p w14:paraId="7D2A981A" w14:textId="77777777" w:rsidR="00C27CF8" w:rsidRPr="00C27CF8" w:rsidRDefault="00C27CF8" w:rsidP="00C27CF8">
            <w:pPr>
              <w:rPr>
                <w:rFonts w:ascii="Calibri" w:hAnsi="Calibri" w:cs="Calibri"/>
                <w:i/>
                <w:iCs/>
              </w:rPr>
            </w:pPr>
            <w:r w:rsidRPr="00C27CF8">
              <w:rPr>
                <w:rFonts w:ascii="Calibri" w:hAnsi="Calibri" w:cs="Calibri"/>
                <w:i/>
                <w:iCs/>
              </w:rPr>
              <w:t xml:space="preserve">We believe that GEP should be focused on a more UK wide approach to delivering content to help improve efficiency and avoid the need for duplication. It would be helpful to see educational content and resources, for example </w:t>
            </w:r>
            <w:proofErr w:type="spellStart"/>
            <w:r w:rsidRPr="00C27CF8">
              <w:rPr>
                <w:rFonts w:ascii="Calibri" w:hAnsi="Calibri" w:cs="Calibri"/>
                <w:i/>
                <w:iCs/>
              </w:rPr>
              <w:t>GeNotes</w:t>
            </w:r>
            <w:proofErr w:type="spellEnd"/>
            <w:r w:rsidRPr="00C27CF8">
              <w:rPr>
                <w:rFonts w:ascii="Calibri" w:hAnsi="Calibri" w:cs="Calibri"/>
                <w:i/>
                <w:iCs/>
              </w:rPr>
              <w:t xml:space="preserve"> (genomic notes for clinicians), developed collectively, and then published in such a way that they are co-badged/endorsed by the relevant organisations in the home nations.</w:t>
            </w:r>
          </w:p>
          <w:p w14:paraId="30F6449F" w14:textId="77777777" w:rsidR="00C27CF8" w:rsidRDefault="00C27CF8" w:rsidP="00002BC7">
            <w:pPr>
              <w:pStyle w:val="ListParagraph"/>
              <w:ind w:left="0"/>
              <w:rPr>
                <w:rFonts w:ascii="Calibri" w:hAnsi="Calibri" w:cs="Calibri"/>
                <w:i/>
                <w:iCs/>
              </w:rPr>
            </w:pPr>
          </w:p>
          <w:p w14:paraId="0F10BB16" w14:textId="77777777" w:rsidR="00C27CF8" w:rsidRDefault="00C27CF8" w:rsidP="00002BC7">
            <w:pPr>
              <w:pStyle w:val="ListParagraph"/>
              <w:ind w:left="0"/>
              <w:rPr>
                <w:rFonts w:ascii="Calibri" w:hAnsi="Calibri" w:cs="Calibri"/>
                <w:i/>
                <w:iCs/>
              </w:rPr>
            </w:pPr>
          </w:p>
        </w:tc>
      </w:tr>
    </w:tbl>
    <w:p w14:paraId="42184FBC" w14:textId="77777777" w:rsidR="00975586" w:rsidRDefault="00975586" w:rsidP="00975586"/>
    <w:p w14:paraId="598836E7" w14:textId="24552E22" w:rsidR="00975586" w:rsidRPr="00975586" w:rsidRDefault="00975586" w:rsidP="00975586">
      <w:pPr>
        <w:rPr>
          <w:b/>
          <w:bCs/>
        </w:rPr>
      </w:pPr>
      <w:r w:rsidRPr="00975586">
        <w:rPr>
          <w:b/>
          <w:bCs/>
        </w:rPr>
        <w:t>Considering further developments</w:t>
      </w:r>
    </w:p>
    <w:p w14:paraId="5259FFA4" w14:textId="66EA0610" w:rsidR="00975586" w:rsidRDefault="00975586" w:rsidP="00975586">
      <w:pPr>
        <w:pStyle w:val="ListParagraph"/>
        <w:numPr>
          <w:ilvl w:val="0"/>
          <w:numId w:val="9"/>
        </w:numPr>
      </w:pPr>
      <w:r w:rsidRPr="00975586">
        <w:t>What aspects of the GEP do you believe are most effective?</w:t>
      </w:r>
    </w:p>
    <w:p w14:paraId="08853A38" w14:textId="77777777" w:rsidR="00975586" w:rsidRDefault="00975586" w:rsidP="00975586">
      <w:pPr>
        <w:pStyle w:val="ListParagraph"/>
      </w:pPr>
    </w:p>
    <w:p w14:paraId="4DB6BBBC" w14:textId="7DA20714" w:rsidR="00975586" w:rsidRDefault="00975586" w:rsidP="00975586">
      <w:pPr>
        <w:pStyle w:val="ListParagraph"/>
        <w:numPr>
          <w:ilvl w:val="0"/>
          <w:numId w:val="9"/>
        </w:numPr>
      </w:pPr>
      <w:r w:rsidRPr="00975586">
        <w:t>How can the GEP be improved to support future NHS workforce need in Genomics? </w:t>
      </w:r>
    </w:p>
    <w:p w14:paraId="6C9CCC37" w14:textId="77777777" w:rsidR="00975586" w:rsidRDefault="00975586" w:rsidP="00975586">
      <w:pPr>
        <w:pStyle w:val="ListParagraph"/>
      </w:pPr>
    </w:p>
    <w:p w14:paraId="501A04E9" w14:textId="0D1DD8F7" w:rsidR="00975586" w:rsidRDefault="00975586" w:rsidP="00975586">
      <w:pPr>
        <w:pStyle w:val="ListParagraph"/>
        <w:numPr>
          <w:ilvl w:val="0"/>
          <w:numId w:val="9"/>
        </w:numPr>
      </w:pPr>
      <w:r w:rsidRPr="00975586">
        <w:lastRenderedPageBreak/>
        <w:t>Is there anything else that you would like to tell us about the role of the GEP in the education of the wider multiprofessional and specialist workforce in Genomics? Please share your comments below</w:t>
      </w:r>
    </w:p>
    <w:sectPr w:rsidR="009755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21794"/>
    <w:multiLevelType w:val="multilevel"/>
    <w:tmpl w:val="5D10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707F2"/>
    <w:multiLevelType w:val="multilevel"/>
    <w:tmpl w:val="E438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E4526"/>
    <w:multiLevelType w:val="hybridMultilevel"/>
    <w:tmpl w:val="3FA64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143240"/>
    <w:multiLevelType w:val="multilevel"/>
    <w:tmpl w:val="1DF0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123BF"/>
    <w:multiLevelType w:val="multilevel"/>
    <w:tmpl w:val="18642A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3C19505E"/>
    <w:multiLevelType w:val="multilevel"/>
    <w:tmpl w:val="BF26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7A6A2E"/>
    <w:multiLevelType w:val="multilevel"/>
    <w:tmpl w:val="4686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0733AB"/>
    <w:multiLevelType w:val="multilevel"/>
    <w:tmpl w:val="EA521326"/>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5A3F660B"/>
    <w:multiLevelType w:val="multilevel"/>
    <w:tmpl w:val="073C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A23C37"/>
    <w:multiLevelType w:val="multilevel"/>
    <w:tmpl w:val="AB7C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380F62"/>
    <w:multiLevelType w:val="multilevel"/>
    <w:tmpl w:val="B2FA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354165">
    <w:abstractNumId w:val="1"/>
  </w:num>
  <w:num w:numId="2" w16cid:durableId="2038462905">
    <w:abstractNumId w:val="6"/>
  </w:num>
  <w:num w:numId="3" w16cid:durableId="1641954820">
    <w:abstractNumId w:val="10"/>
  </w:num>
  <w:num w:numId="4" w16cid:durableId="1319310760">
    <w:abstractNumId w:val="8"/>
  </w:num>
  <w:num w:numId="5" w16cid:durableId="566066743">
    <w:abstractNumId w:val="3"/>
  </w:num>
  <w:num w:numId="6" w16cid:durableId="1296371437">
    <w:abstractNumId w:val="9"/>
  </w:num>
  <w:num w:numId="7" w16cid:durableId="294338444">
    <w:abstractNumId w:val="5"/>
  </w:num>
  <w:num w:numId="8" w16cid:durableId="1241255006">
    <w:abstractNumId w:val="0"/>
  </w:num>
  <w:num w:numId="9" w16cid:durableId="716202534">
    <w:abstractNumId w:val="2"/>
  </w:num>
  <w:num w:numId="10" w16cid:durableId="1850370824">
    <w:abstractNumId w:val="7"/>
  </w:num>
  <w:num w:numId="11" w16cid:durableId="1074089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86"/>
    <w:rsid w:val="00002BC7"/>
    <w:rsid w:val="000227BC"/>
    <w:rsid w:val="001C5785"/>
    <w:rsid w:val="0025255B"/>
    <w:rsid w:val="00287D3B"/>
    <w:rsid w:val="003963F3"/>
    <w:rsid w:val="003B31BB"/>
    <w:rsid w:val="004D6CC0"/>
    <w:rsid w:val="006D47AB"/>
    <w:rsid w:val="00754698"/>
    <w:rsid w:val="0081454B"/>
    <w:rsid w:val="00966D02"/>
    <w:rsid w:val="00975586"/>
    <w:rsid w:val="00990D39"/>
    <w:rsid w:val="009D7797"/>
    <w:rsid w:val="009D7E0F"/>
    <w:rsid w:val="00A06F13"/>
    <w:rsid w:val="00B22E5B"/>
    <w:rsid w:val="00BE61C9"/>
    <w:rsid w:val="00C27CF8"/>
    <w:rsid w:val="00C56A29"/>
    <w:rsid w:val="00D57389"/>
    <w:rsid w:val="00D80B5B"/>
    <w:rsid w:val="00E05ECB"/>
    <w:rsid w:val="00F364E8"/>
    <w:rsid w:val="205AED94"/>
    <w:rsid w:val="246131E7"/>
    <w:rsid w:val="3D0FF2A6"/>
    <w:rsid w:val="4404E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CFB3"/>
  <w15:chartTrackingRefBased/>
  <w15:docId w15:val="{A5832A99-0B79-421F-A4E9-12046075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586"/>
    <w:rPr>
      <w:rFonts w:eastAsiaTheme="majorEastAsia" w:cstheme="majorBidi"/>
      <w:color w:val="272727" w:themeColor="text1" w:themeTint="D8"/>
    </w:rPr>
  </w:style>
  <w:style w:type="paragraph" w:styleId="Title">
    <w:name w:val="Title"/>
    <w:basedOn w:val="Normal"/>
    <w:next w:val="Normal"/>
    <w:link w:val="TitleChar"/>
    <w:uiPriority w:val="10"/>
    <w:qFormat/>
    <w:rsid w:val="00975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586"/>
    <w:pPr>
      <w:spacing w:before="160"/>
      <w:jc w:val="center"/>
    </w:pPr>
    <w:rPr>
      <w:i/>
      <w:iCs/>
      <w:color w:val="404040" w:themeColor="text1" w:themeTint="BF"/>
    </w:rPr>
  </w:style>
  <w:style w:type="character" w:customStyle="1" w:styleId="QuoteChar">
    <w:name w:val="Quote Char"/>
    <w:basedOn w:val="DefaultParagraphFont"/>
    <w:link w:val="Quote"/>
    <w:uiPriority w:val="29"/>
    <w:rsid w:val="00975586"/>
    <w:rPr>
      <w:i/>
      <w:iCs/>
      <w:color w:val="404040" w:themeColor="text1" w:themeTint="BF"/>
    </w:rPr>
  </w:style>
  <w:style w:type="paragraph" w:styleId="ListParagraph">
    <w:name w:val="List Paragraph"/>
    <w:basedOn w:val="Normal"/>
    <w:uiPriority w:val="34"/>
    <w:qFormat/>
    <w:rsid w:val="00975586"/>
    <w:pPr>
      <w:ind w:left="720"/>
      <w:contextualSpacing/>
    </w:pPr>
  </w:style>
  <w:style w:type="character" w:styleId="IntenseEmphasis">
    <w:name w:val="Intense Emphasis"/>
    <w:basedOn w:val="DefaultParagraphFont"/>
    <w:uiPriority w:val="21"/>
    <w:qFormat/>
    <w:rsid w:val="00975586"/>
    <w:rPr>
      <w:i/>
      <w:iCs/>
      <w:color w:val="0F4761" w:themeColor="accent1" w:themeShade="BF"/>
    </w:rPr>
  </w:style>
  <w:style w:type="paragraph" w:styleId="IntenseQuote">
    <w:name w:val="Intense Quote"/>
    <w:basedOn w:val="Normal"/>
    <w:next w:val="Normal"/>
    <w:link w:val="IntenseQuoteChar"/>
    <w:uiPriority w:val="30"/>
    <w:qFormat/>
    <w:rsid w:val="00975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586"/>
    <w:rPr>
      <w:i/>
      <w:iCs/>
      <w:color w:val="0F4761" w:themeColor="accent1" w:themeShade="BF"/>
    </w:rPr>
  </w:style>
  <w:style w:type="character" w:styleId="IntenseReference">
    <w:name w:val="Intense Reference"/>
    <w:basedOn w:val="DefaultParagraphFont"/>
    <w:uiPriority w:val="32"/>
    <w:qFormat/>
    <w:rsid w:val="00975586"/>
    <w:rPr>
      <w:b/>
      <w:bCs/>
      <w:smallCaps/>
      <w:color w:val="0F4761" w:themeColor="accent1" w:themeShade="BF"/>
      <w:spacing w:val="5"/>
    </w:rPr>
  </w:style>
  <w:style w:type="character" w:styleId="Hyperlink">
    <w:name w:val="Hyperlink"/>
    <w:basedOn w:val="DefaultParagraphFont"/>
    <w:uiPriority w:val="99"/>
    <w:unhideWhenUsed/>
    <w:rsid w:val="00975586"/>
    <w:rPr>
      <w:color w:val="467886" w:themeColor="hyperlink"/>
      <w:u w:val="single"/>
    </w:rPr>
  </w:style>
  <w:style w:type="character" w:styleId="UnresolvedMention">
    <w:name w:val="Unresolved Mention"/>
    <w:basedOn w:val="DefaultParagraphFont"/>
    <w:uiPriority w:val="99"/>
    <w:semiHidden/>
    <w:unhideWhenUsed/>
    <w:rsid w:val="00975586"/>
    <w:rPr>
      <w:color w:val="605E5C"/>
      <w:shd w:val="clear" w:color="auto" w:fill="E1DFDD"/>
    </w:rPr>
  </w:style>
  <w:style w:type="table" w:styleId="TableGrid">
    <w:name w:val="Table Grid"/>
    <w:basedOn w:val="TableNormal"/>
    <w:uiPriority w:val="39"/>
    <w:rsid w:val="00C27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20652">
      <w:bodyDiv w:val="1"/>
      <w:marLeft w:val="0"/>
      <w:marRight w:val="0"/>
      <w:marTop w:val="0"/>
      <w:marBottom w:val="0"/>
      <w:divBdr>
        <w:top w:val="none" w:sz="0" w:space="0" w:color="auto"/>
        <w:left w:val="none" w:sz="0" w:space="0" w:color="auto"/>
        <w:bottom w:val="none" w:sz="0" w:space="0" w:color="auto"/>
        <w:right w:val="none" w:sz="0" w:space="0" w:color="auto"/>
      </w:divBdr>
    </w:div>
    <w:div w:id="140004318">
      <w:bodyDiv w:val="1"/>
      <w:marLeft w:val="0"/>
      <w:marRight w:val="0"/>
      <w:marTop w:val="0"/>
      <w:marBottom w:val="0"/>
      <w:divBdr>
        <w:top w:val="none" w:sz="0" w:space="0" w:color="auto"/>
        <w:left w:val="none" w:sz="0" w:space="0" w:color="auto"/>
        <w:bottom w:val="none" w:sz="0" w:space="0" w:color="auto"/>
        <w:right w:val="none" w:sz="0" w:space="0" w:color="auto"/>
      </w:divBdr>
    </w:div>
    <w:div w:id="589848189">
      <w:bodyDiv w:val="1"/>
      <w:marLeft w:val="0"/>
      <w:marRight w:val="0"/>
      <w:marTop w:val="0"/>
      <w:marBottom w:val="0"/>
      <w:divBdr>
        <w:top w:val="none" w:sz="0" w:space="0" w:color="auto"/>
        <w:left w:val="none" w:sz="0" w:space="0" w:color="auto"/>
        <w:bottom w:val="none" w:sz="0" w:space="0" w:color="auto"/>
        <w:right w:val="none" w:sz="0" w:space="0" w:color="auto"/>
      </w:divBdr>
    </w:div>
    <w:div w:id="667290189">
      <w:bodyDiv w:val="1"/>
      <w:marLeft w:val="0"/>
      <w:marRight w:val="0"/>
      <w:marTop w:val="0"/>
      <w:marBottom w:val="0"/>
      <w:divBdr>
        <w:top w:val="none" w:sz="0" w:space="0" w:color="auto"/>
        <w:left w:val="none" w:sz="0" w:space="0" w:color="auto"/>
        <w:bottom w:val="none" w:sz="0" w:space="0" w:color="auto"/>
        <w:right w:val="none" w:sz="0" w:space="0" w:color="auto"/>
      </w:divBdr>
      <w:divsChild>
        <w:div w:id="1276257212">
          <w:marLeft w:val="0"/>
          <w:marRight w:val="0"/>
          <w:marTop w:val="0"/>
          <w:marBottom w:val="0"/>
          <w:divBdr>
            <w:top w:val="none" w:sz="0" w:space="0" w:color="auto"/>
            <w:left w:val="none" w:sz="0" w:space="0" w:color="auto"/>
            <w:bottom w:val="none" w:sz="0" w:space="0" w:color="auto"/>
            <w:right w:val="none" w:sz="0" w:space="0" w:color="auto"/>
          </w:divBdr>
        </w:div>
      </w:divsChild>
    </w:div>
    <w:div w:id="868838837">
      <w:bodyDiv w:val="1"/>
      <w:marLeft w:val="0"/>
      <w:marRight w:val="0"/>
      <w:marTop w:val="0"/>
      <w:marBottom w:val="0"/>
      <w:divBdr>
        <w:top w:val="none" w:sz="0" w:space="0" w:color="auto"/>
        <w:left w:val="none" w:sz="0" w:space="0" w:color="auto"/>
        <w:bottom w:val="none" w:sz="0" w:space="0" w:color="auto"/>
        <w:right w:val="none" w:sz="0" w:space="0" w:color="auto"/>
      </w:divBdr>
      <w:divsChild>
        <w:div w:id="739670405">
          <w:marLeft w:val="0"/>
          <w:marRight w:val="0"/>
          <w:marTop w:val="0"/>
          <w:marBottom w:val="0"/>
          <w:divBdr>
            <w:top w:val="none" w:sz="0" w:space="0" w:color="auto"/>
            <w:left w:val="none" w:sz="0" w:space="0" w:color="auto"/>
            <w:bottom w:val="none" w:sz="0" w:space="0" w:color="auto"/>
            <w:right w:val="none" w:sz="0" w:space="0" w:color="auto"/>
          </w:divBdr>
        </w:div>
      </w:divsChild>
    </w:div>
    <w:div w:id="882791854">
      <w:bodyDiv w:val="1"/>
      <w:marLeft w:val="0"/>
      <w:marRight w:val="0"/>
      <w:marTop w:val="0"/>
      <w:marBottom w:val="0"/>
      <w:divBdr>
        <w:top w:val="none" w:sz="0" w:space="0" w:color="auto"/>
        <w:left w:val="none" w:sz="0" w:space="0" w:color="auto"/>
        <w:bottom w:val="none" w:sz="0" w:space="0" w:color="auto"/>
        <w:right w:val="none" w:sz="0" w:space="0" w:color="auto"/>
      </w:divBdr>
    </w:div>
    <w:div w:id="975062507">
      <w:bodyDiv w:val="1"/>
      <w:marLeft w:val="0"/>
      <w:marRight w:val="0"/>
      <w:marTop w:val="0"/>
      <w:marBottom w:val="0"/>
      <w:divBdr>
        <w:top w:val="none" w:sz="0" w:space="0" w:color="auto"/>
        <w:left w:val="none" w:sz="0" w:space="0" w:color="auto"/>
        <w:bottom w:val="none" w:sz="0" w:space="0" w:color="auto"/>
        <w:right w:val="none" w:sz="0" w:space="0" w:color="auto"/>
      </w:divBdr>
      <w:divsChild>
        <w:div w:id="274292295">
          <w:marLeft w:val="0"/>
          <w:marRight w:val="0"/>
          <w:marTop w:val="0"/>
          <w:marBottom w:val="0"/>
          <w:divBdr>
            <w:top w:val="none" w:sz="0" w:space="0" w:color="auto"/>
            <w:left w:val="none" w:sz="0" w:space="0" w:color="auto"/>
            <w:bottom w:val="none" w:sz="0" w:space="0" w:color="auto"/>
            <w:right w:val="none" w:sz="0" w:space="0" w:color="auto"/>
          </w:divBdr>
        </w:div>
      </w:divsChild>
    </w:div>
    <w:div w:id="1071999724">
      <w:bodyDiv w:val="1"/>
      <w:marLeft w:val="0"/>
      <w:marRight w:val="0"/>
      <w:marTop w:val="0"/>
      <w:marBottom w:val="0"/>
      <w:divBdr>
        <w:top w:val="none" w:sz="0" w:space="0" w:color="auto"/>
        <w:left w:val="none" w:sz="0" w:space="0" w:color="auto"/>
        <w:bottom w:val="none" w:sz="0" w:space="0" w:color="auto"/>
        <w:right w:val="none" w:sz="0" w:space="0" w:color="auto"/>
      </w:divBdr>
      <w:divsChild>
        <w:div w:id="151338183">
          <w:marLeft w:val="0"/>
          <w:marRight w:val="0"/>
          <w:marTop w:val="0"/>
          <w:marBottom w:val="0"/>
          <w:divBdr>
            <w:top w:val="none" w:sz="0" w:space="0" w:color="auto"/>
            <w:left w:val="none" w:sz="0" w:space="0" w:color="auto"/>
            <w:bottom w:val="none" w:sz="0" w:space="0" w:color="auto"/>
            <w:right w:val="none" w:sz="0" w:space="0" w:color="auto"/>
          </w:divBdr>
        </w:div>
      </w:divsChild>
    </w:div>
    <w:div w:id="1086072584">
      <w:bodyDiv w:val="1"/>
      <w:marLeft w:val="0"/>
      <w:marRight w:val="0"/>
      <w:marTop w:val="0"/>
      <w:marBottom w:val="0"/>
      <w:divBdr>
        <w:top w:val="none" w:sz="0" w:space="0" w:color="auto"/>
        <w:left w:val="none" w:sz="0" w:space="0" w:color="auto"/>
        <w:bottom w:val="none" w:sz="0" w:space="0" w:color="auto"/>
        <w:right w:val="none" w:sz="0" w:space="0" w:color="auto"/>
      </w:divBdr>
    </w:div>
    <w:div w:id="1104809404">
      <w:bodyDiv w:val="1"/>
      <w:marLeft w:val="0"/>
      <w:marRight w:val="0"/>
      <w:marTop w:val="0"/>
      <w:marBottom w:val="0"/>
      <w:divBdr>
        <w:top w:val="none" w:sz="0" w:space="0" w:color="auto"/>
        <w:left w:val="none" w:sz="0" w:space="0" w:color="auto"/>
        <w:bottom w:val="none" w:sz="0" w:space="0" w:color="auto"/>
        <w:right w:val="none" w:sz="0" w:space="0" w:color="auto"/>
      </w:divBdr>
      <w:divsChild>
        <w:div w:id="895093572">
          <w:marLeft w:val="0"/>
          <w:marRight w:val="0"/>
          <w:marTop w:val="0"/>
          <w:marBottom w:val="0"/>
          <w:divBdr>
            <w:top w:val="none" w:sz="0" w:space="0" w:color="auto"/>
            <w:left w:val="none" w:sz="0" w:space="0" w:color="auto"/>
            <w:bottom w:val="none" w:sz="0" w:space="0" w:color="auto"/>
            <w:right w:val="none" w:sz="0" w:space="0" w:color="auto"/>
          </w:divBdr>
        </w:div>
      </w:divsChild>
    </w:div>
    <w:div w:id="1463572208">
      <w:bodyDiv w:val="1"/>
      <w:marLeft w:val="0"/>
      <w:marRight w:val="0"/>
      <w:marTop w:val="0"/>
      <w:marBottom w:val="0"/>
      <w:divBdr>
        <w:top w:val="none" w:sz="0" w:space="0" w:color="auto"/>
        <w:left w:val="none" w:sz="0" w:space="0" w:color="auto"/>
        <w:bottom w:val="none" w:sz="0" w:space="0" w:color="auto"/>
        <w:right w:val="none" w:sz="0" w:space="0" w:color="auto"/>
      </w:divBdr>
    </w:div>
    <w:div w:id="1615558044">
      <w:bodyDiv w:val="1"/>
      <w:marLeft w:val="0"/>
      <w:marRight w:val="0"/>
      <w:marTop w:val="0"/>
      <w:marBottom w:val="0"/>
      <w:divBdr>
        <w:top w:val="none" w:sz="0" w:space="0" w:color="auto"/>
        <w:left w:val="none" w:sz="0" w:space="0" w:color="auto"/>
        <w:bottom w:val="none" w:sz="0" w:space="0" w:color="auto"/>
        <w:right w:val="none" w:sz="0" w:space="0" w:color="auto"/>
      </w:divBdr>
      <w:divsChild>
        <w:div w:id="471287580">
          <w:marLeft w:val="0"/>
          <w:marRight w:val="0"/>
          <w:marTop w:val="0"/>
          <w:marBottom w:val="0"/>
          <w:divBdr>
            <w:top w:val="none" w:sz="0" w:space="0" w:color="auto"/>
            <w:left w:val="none" w:sz="0" w:space="0" w:color="auto"/>
            <w:bottom w:val="none" w:sz="0" w:space="0" w:color="auto"/>
            <w:right w:val="none" w:sz="0" w:space="0" w:color="auto"/>
          </w:divBdr>
        </w:div>
      </w:divsChild>
    </w:div>
    <w:div w:id="1634291617">
      <w:bodyDiv w:val="1"/>
      <w:marLeft w:val="0"/>
      <w:marRight w:val="0"/>
      <w:marTop w:val="0"/>
      <w:marBottom w:val="0"/>
      <w:divBdr>
        <w:top w:val="none" w:sz="0" w:space="0" w:color="auto"/>
        <w:left w:val="none" w:sz="0" w:space="0" w:color="auto"/>
        <w:bottom w:val="none" w:sz="0" w:space="0" w:color="auto"/>
        <w:right w:val="none" w:sz="0" w:space="0" w:color="auto"/>
      </w:divBdr>
    </w:div>
    <w:div w:id="20388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edit.officeapps.live.com/we/wordeditorframe.aspx?ui=en-GB&amp;rs=en-GB&amp;IsLicensedUser=1&amp;WOPISrc=https%3A%2F%2Fapi.box.com%2Fwopi%2Ffiles%2F1718719696566" TargetMode="External"/><Relationship Id="rId13" Type="http://schemas.openxmlformats.org/officeDocument/2006/relationships/hyperlink" Target="https://www.rpharms.com/development/pharmacogenomi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ord-edit.officeapps.live.com/we/wordeditorframe.aspx?ui=en-GB&amp;rs=en-GB&amp;IsLicensedUser=1&amp;WOPISrc=https%3A%2F%2Fapi.box.com%2Fwopi%2Ffiles%2F1718719696566" TargetMode="External"/><Relationship Id="rId12" Type="http://schemas.openxmlformats.org/officeDocument/2006/relationships/hyperlink" Target="https://www.rpharms.com/Portals/0/RPS%20document%20library/Open%20access/Scotland/Pharmacy%202030%20vision/Pharmacy%202030%20Full%20professional%20vision%20Jan22.pdf?ver=WD2LOOTwG4ejGBfEPC6D0w%3d%3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pharms.com/Portals/0/RPS%20document%20library/Open%20access/Scotland/Pharmacy%202030%20vision/Pharmacy%202030%20Full%20professional%20vision%20Jan22.pdf?ver=WD2LOOTwG4ejGBfEPC6D0w%3d%3d" TargetMode="External"/><Relationship Id="rId1" Type="http://schemas.openxmlformats.org/officeDocument/2006/relationships/customXml" Target="../customXml/item1.xml"/><Relationship Id="rId6" Type="http://schemas.openxmlformats.org/officeDocument/2006/relationships/hyperlink" Target="https://www.genomicseducation.hee.nhs.uk/about-us/" TargetMode="External"/><Relationship Id="rId11" Type="http://schemas.openxmlformats.org/officeDocument/2006/relationships/hyperlink" Target="https://www.rpharms.com/Portals/0/RPS%20document%20library/Open%20access/Policy/Pharmacy%20Vision%20English.pdf?ver=2019-05-21-152234-477" TargetMode="External"/><Relationship Id="rId5" Type="http://schemas.openxmlformats.org/officeDocument/2006/relationships/webSettings" Target="webSettings.xml"/><Relationship Id="rId15" Type="http://schemas.openxmlformats.org/officeDocument/2006/relationships/hyperlink" Target="https://www.rpharms.com/Portals/0/RPS%20document%20library/Open%20access/Policy/Pharmacy%20Vision%20English.pdf?ver=2019-05-21-152234-477" TargetMode="External"/><Relationship Id="rId10" Type="http://schemas.openxmlformats.org/officeDocument/2006/relationships/hyperlink" Target="https://www.rpharms.com/Portals/0/RPS%20document%20library/Open%20access/Vision%20for%20England%202022/A%20Vision%20for%20Pharmacy%20Professional%20Practice%20in%20England.pdf?ver=jR4qkB_UhDERQPaTmGCVlQ%3d%3d" TargetMode="External"/><Relationship Id="rId4" Type="http://schemas.openxmlformats.org/officeDocument/2006/relationships/settings" Target="settings.xml"/><Relationship Id="rId9" Type="http://schemas.openxmlformats.org/officeDocument/2006/relationships/hyperlink" Target="https://gbr01.safelinks.protection.outlook.com/?url=https%3A%2F%2Fwww.genomicseducation.hee.nhs.uk%2Fgenotes%2Fknowledge-hub%2Fclopidogrel%2F&amp;data=05%7C02%7CAlwyn.Fortune%40rpharms.com%7Ca50f9d05210847999ebf08dd183e91e5%7C99193c61658d4076952f07c345a3be97%7C0%7C0%7C638693379203511881%7CUnknown%7CTWFpbGZsb3d8eyJFbXB0eU1hcGkiOnRydWUsIlYiOiIwLjAuMDAwMCIsIlAiOiJXaW4zMiIsIkFOIjoiTWFpbCIsIldUIjoyfQ%3D%3D%7C0%7C%7C%7C&amp;sdata=2WIT0PQw8gX4EBm0zxG1mr7hQ3Z41s8RNddWHb%2BoqYc%3D&amp;reserved=0" TargetMode="External"/><Relationship Id="rId14" Type="http://schemas.openxmlformats.org/officeDocument/2006/relationships/hyperlink" Target="https://www.rpharms.com/Portals/0/RPS%20document%20library/Open%20access/Vision%20for%20England%202022/A%20Vision%20for%20Pharmacy%20Professional%20Practice%20in%20England.pdf?ver=jR4qkB_UhDERQPaTmGCVlQ%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09995-B455-43B3-A20E-972EE59BF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Alwyn Fortune</cp:lastModifiedBy>
  <cp:revision>15</cp:revision>
  <dcterms:created xsi:type="dcterms:W3CDTF">2024-12-06T15:58:00Z</dcterms:created>
  <dcterms:modified xsi:type="dcterms:W3CDTF">2024-12-13T16:18:00Z</dcterms:modified>
</cp:coreProperties>
</file>