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EA7E" w14:textId="4380200C" w:rsidR="00AD14D6" w:rsidRDefault="00AD14D6" w:rsidP="00AD14D6">
      <w:pPr>
        <w:pStyle w:val="NormalWeb"/>
        <w:rPr>
          <w:rFonts w:cs="Arial"/>
          <w:b/>
          <w:bCs/>
          <w:szCs w:val="20"/>
        </w:rPr>
      </w:pPr>
      <w:r>
        <w:rPr>
          <w:noProof/>
        </w:rPr>
        <w:drawing>
          <wp:inline distT="0" distB="0" distL="0" distR="0" wp14:anchorId="0BA68F65" wp14:editId="6F5EEAB2">
            <wp:extent cx="1947809" cy="577850"/>
            <wp:effectExtent l="0" t="0" r="0" b="0"/>
            <wp:docPr id="55755568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55685"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8382" cy="580987"/>
                    </a:xfrm>
                    <a:prstGeom prst="rect">
                      <a:avLst/>
                    </a:prstGeom>
                    <a:noFill/>
                    <a:ln>
                      <a:noFill/>
                    </a:ln>
                  </pic:spPr>
                </pic:pic>
              </a:graphicData>
            </a:graphic>
          </wp:inline>
        </w:drawing>
      </w:r>
    </w:p>
    <w:p w14:paraId="2C256C3C" w14:textId="1F6753B4" w:rsidR="00662503" w:rsidRPr="00C56794" w:rsidRDefault="00C56794" w:rsidP="00C56794">
      <w:pPr>
        <w:jc w:val="center"/>
        <w:rPr>
          <w:rFonts w:cs="Arial"/>
          <w:b/>
          <w:bCs/>
          <w:szCs w:val="20"/>
        </w:rPr>
      </w:pPr>
      <w:r w:rsidRPr="00C56794">
        <w:rPr>
          <w:rFonts w:cs="Arial"/>
          <w:b/>
          <w:bCs/>
          <w:szCs w:val="20"/>
        </w:rPr>
        <w:t>Childminder recruitment and retention consultation</w:t>
      </w:r>
    </w:p>
    <w:p w14:paraId="0DBAAFAF" w14:textId="61CF78EC" w:rsidR="00C56794" w:rsidRDefault="00C56794" w:rsidP="00C56794">
      <w:pPr>
        <w:jc w:val="center"/>
        <w:rPr>
          <w:rFonts w:cs="Arial"/>
          <w:b/>
          <w:bCs/>
          <w:szCs w:val="20"/>
        </w:rPr>
      </w:pPr>
      <w:r w:rsidRPr="00C56794">
        <w:rPr>
          <w:rFonts w:cs="Arial"/>
          <w:b/>
          <w:bCs/>
          <w:szCs w:val="20"/>
        </w:rPr>
        <w:t>R</w:t>
      </w:r>
      <w:r w:rsidR="00AD14D6">
        <w:rPr>
          <w:rFonts w:cs="Arial"/>
          <w:b/>
          <w:bCs/>
          <w:szCs w:val="20"/>
        </w:rPr>
        <w:t xml:space="preserve">oyal </w:t>
      </w:r>
      <w:r w:rsidRPr="00C56794">
        <w:rPr>
          <w:rFonts w:cs="Arial"/>
          <w:b/>
          <w:bCs/>
          <w:szCs w:val="20"/>
        </w:rPr>
        <w:t>P</w:t>
      </w:r>
      <w:r w:rsidR="00AD14D6">
        <w:rPr>
          <w:rFonts w:cs="Arial"/>
          <w:b/>
          <w:bCs/>
          <w:szCs w:val="20"/>
        </w:rPr>
        <w:t xml:space="preserve">harmaceutical </w:t>
      </w:r>
      <w:r w:rsidRPr="00C56794">
        <w:rPr>
          <w:rFonts w:cs="Arial"/>
          <w:b/>
          <w:bCs/>
          <w:szCs w:val="20"/>
        </w:rPr>
        <w:t>S</w:t>
      </w:r>
      <w:r w:rsidR="00AD14D6">
        <w:rPr>
          <w:rFonts w:cs="Arial"/>
          <w:b/>
          <w:bCs/>
          <w:szCs w:val="20"/>
        </w:rPr>
        <w:t>ociety</w:t>
      </w:r>
      <w:r w:rsidRPr="00C56794">
        <w:rPr>
          <w:rFonts w:cs="Arial"/>
          <w:b/>
          <w:bCs/>
          <w:szCs w:val="20"/>
        </w:rPr>
        <w:t xml:space="preserve"> response</w:t>
      </w:r>
    </w:p>
    <w:p w14:paraId="592C50A1" w14:textId="77777777" w:rsidR="00C56794" w:rsidRDefault="00C56794" w:rsidP="00C56794">
      <w:pPr>
        <w:rPr>
          <w:rFonts w:cs="Arial"/>
          <w:szCs w:val="20"/>
        </w:rPr>
      </w:pPr>
    </w:p>
    <w:p w14:paraId="65E49A8F" w14:textId="6989E157" w:rsidR="00C56794" w:rsidRDefault="00C56794" w:rsidP="00C56794">
      <w:pPr>
        <w:rPr>
          <w:rFonts w:cs="Arial"/>
          <w:szCs w:val="20"/>
        </w:rPr>
      </w:pPr>
      <w:r w:rsidRPr="00C56794">
        <w:rPr>
          <w:rFonts w:cs="Arial"/>
          <w:szCs w:val="20"/>
        </w:rPr>
        <w:t xml:space="preserve">Question 1: To what extent do you agree or disagree that we should expand the range of regulated health care professionals, working within a GP surgery, who can complete health declarations for prospective childminders to include: </w:t>
      </w:r>
      <w:r>
        <w:rPr>
          <w:rFonts w:cs="Arial"/>
          <w:szCs w:val="20"/>
        </w:rPr>
        <w:t xml:space="preserve">(Strongly agree, agree, neither agree </w:t>
      </w:r>
      <w:proofErr w:type="gramStart"/>
      <w:r>
        <w:rPr>
          <w:rFonts w:cs="Arial"/>
          <w:szCs w:val="20"/>
        </w:rPr>
        <w:t>or</w:t>
      </w:r>
      <w:proofErr w:type="gramEnd"/>
      <w:r>
        <w:rPr>
          <w:rFonts w:cs="Arial"/>
          <w:szCs w:val="20"/>
        </w:rPr>
        <w:t xml:space="preserve"> disagree, disagree, strongly disagree, don’t know options for all of the below)</w:t>
      </w:r>
    </w:p>
    <w:p w14:paraId="349F3D7E" w14:textId="77777777" w:rsidR="00C56794" w:rsidRPr="00C56794" w:rsidRDefault="00C56794" w:rsidP="00C56794">
      <w:pPr>
        <w:pStyle w:val="ListParagraph"/>
        <w:numPr>
          <w:ilvl w:val="0"/>
          <w:numId w:val="1"/>
        </w:numPr>
        <w:rPr>
          <w:rFonts w:cs="Arial"/>
          <w:szCs w:val="20"/>
        </w:rPr>
      </w:pPr>
      <w:r w:rsidRPr="00C56794">
        <w:rPr>
          <w:rFonts w:cs="Arial"/>
          <w:szCs w:val="20"/>
        </w:rPr>
        <w:t>nurses?</w:t>
      </w:r>
    </w:p>
    <w:p w14:paraId="49645EB0" w14:textId="31195EA4" w:rsidR="00C56794" w:rsidRPr="00C56794" w:rsidRDefault="00C56794" w:rsidP="00C56794">
      <w:pPr>
        <w:pStyle w:val="ListParagraph"/>
        <w:numPr>
          <w:ilvl w:val="0"/>
          <w:numId w:val="1"/>
        </w:numPr>
        <w:rPr>
          <w:rFonts w:cs="Arial"/>
          <w:szCs w:val="20"/>
        </w:rPr>
      </w:pPr>
      <w:r w:rsidRPr="00C56794">
        <w:rPr>
          <w:rFonts w:cs="Arial"/>
          <w:szCs w:val="20"/>
        </w:rPr>
        <w:t>pharmacists?</w:t>
      </w:r>
      <w:r>
        <w:rPr>
          <w:rFonts w:cs="Arial"/>
          <w:szCs w:val="20"/>
        </w:rPr>
        <w:t xml:space="preserve"> </w:t>
      </w:r>
      <w:r w:rsidR="0045625E">
        <w:rPr>
          <w:rFonts w:cs="Arial"/>
          <w:szCs w:val="20"/>
        </w:rPr>
        <w:t>–</w:t>
      </w:r>
      <w:r>
        <w:rPr>
          <w:rFonts w:cs="Arial"/>
          <w:szCs w:val="20"/>
        </w:rPr>
        <w:t xml:space="preserve"> </w:t>
      </w:r>
      <w:r w:rsidR="0045625E" w:rsidRPr="0045625E">
        <w:rPr>
          <w:rFonts w:cs="Arial"/>
          <w:szCs w:val="20"/>
          <w:highlight w:val="yellow"/>
        </w:rPr>
        <w:t xml:space="preserve">neither </w:t>
      </w:r>
      <w:r w:rsidRPr="0045625E">
        <w:rPr>
          <w:rFonts w:cs="Arial"/>
          <w:szCs w:val="20"/>
          <w:highlight w:val="yellow"/>
        </w:rPr>
        <w:t>agree</w:t>
      </w:r>
      <w:r w:rsidR="0045625E" w:rsidRPr="0045625E">
        <w:rPr>
          <w:rFonts w:cs="Arial"/>
          <w:szCs w:val="20"/>
          <w:highlight w:val="yellow"/>
        </w:rPr>
        <w:t xml:space="preserve"> or </w:t>
      </w:r>
      <w:proofErr w:type="gramStart"/>
      <w:r w:rsidR="0045625E" w:rsidRPr="0045625E">
        <w:rPr>
          <w:rFonts w:cs="Arial"/>
          <w:szCs w:val="20"/>
          <w:highlight w:val="yellow"/>
        </w:rPr>
        <w:t>disagree</w:t>
      </w:r>
      <w:proofErr w:type="gramEnd"/>
    </w:p>
    <w:p w14:paraId="2A12A49E" w14:textId="77777777" w:rsidR="00C56794" w:rsidRPr="00C56794" w:rsidRDefault="00C56794" w:rsidP="00C56794">
      <w:pPr>
        <w:pStyle w:val="ListParagraph"/>
        <w:numPr>
          <w:ilvl w:val="0"/>
          <w:numId w:val="1"/>
        </w:numPr>
        <w:rPr>
          <w:rFonts w:cs="Arial"/>
          <w:szCs w:val="20"/>
        </w:rPr>
      </w:pPr>
      <w:r w:rsidRPr="00C56794">
        <w:rPr>
          <w:rFonts w:cs="Arial"/>
          <w:szCs w:val="20"/>
        </w:rPr>
        <w:t>occupational therapists?</w:t>
      </w:r>
    </w:p>
    <w:p w14:paraId="636FFCCB" w14:textId="29FB55AD" w:rsidR="00C56794" w:rsidRDefault="00C56794" w:rsidP="00C56794">
      <w:pPr>
        <w:pStyle w:val="ListParagraph"/>
        <w:numPr>
          <w:ilvl w:val="0"/>
          <w:numId w:val="1"/>
        </w:numPr>
        <w:rPr>
          <w:rFonts w:cs="Arial"/>
          <w:szCs w:val="20"/>
        </w:rPr>
      </w:pPr>
      <w:r w:rsidRPr="00C56794">
        <w:rPr>
          <w:rFonts w:cs="Arial"/>
          <w:szCs w:val="20"/>
        </w:rPr>
        <w:t>paramedics?</w:t>
      </w:r>
    </w:p>
    <w:p w14:paraId="55FA2007" w14:textId="0709F4A0" w:rsidR="00C56794" w:rsidRDefault="00C56794" w:rsidP="00C56794">
      <w:pPr>
        <w:rPr>
          <w:rFonts w:cs="Arial"/>
          <w:szCs w:val="20"/>
        </w:rPr>
      </w:pPr>
      <w:r>
        <w:rPr>
          <w:rFonts w:cs="Arial"/>
          <w:szCs w:val="20"/>
        </w:rPr>
        <w:t>Please explain your responses below (limited to 3000 characters)</w:t>
      </w:r>
    </w:p>
    <w:p w14:paraId="34C6D06E" w14:textId="16CD3107" w:rsidR="0045625E" w:rsidRDefault="0045625E" w:rsidP="00C56794">
      <w:pPr>
        <w:rPr>
          <w:rFonts w:cs="Arial"/>
          <w:szCs w:val="20"/>
        </w:rPr>
      </w:pPr>
      <w:r w:rsidRPr="0045625E">
        <w:rPr>
          <w:rFonts w:cs="Arial"/>
          <w:szCs w:val="20"/>
        </w:rPr>
        <w:t xml:space="preserve">RPS agrees that pharmacists should be able to </w:t>
      </w:r>
      <w:r>
        <w:rPr>
          <w:rFonts w:cs="Arial"/>
          <w:szCs w:val="20"/>
        </w:rPr>
        <w:t xml:space="preserve">complete health declarations </w:t>
      </w:r>
      <w:r w:rsidRPr="0045625E">
        <w:rPr>
          <w:rFonts w:cs="Arial"/>
          <w:szCs w:val="20"/>
        </w:rPr>
        <w:t>for those patients where they have full access to the patient’s history and medical requirements.</w:t>
      </w:r>
      <w:r>
        <w:rPr>
          <w:rFonts w:cs="Arial"/>
          <w:szCs w:val="20"/>
        </w:rPr>
        <w:t xml:space="preserve"> </w:t>
      </w:r>
      <w:r w:rsidRPr="0045625E">
        <w:rPr>
          <w:rFonts w:cs="Arial"/>
          <w:szCs w:val="20"/>
        </w:rPr>
        <w:t xml:space="preserve">The completion of </w:t>
      </w:r>
      <w:r>
        <w:rPr>
          <w:rFonts w:cs="Arial"/>
          <w:szCs w:val="20"/>
        </w:rPr>
        <w:t xml:space="preserve">health declarations </w:t>
      </w:r>
      <w:r w:rsidRPr="0045625E">
        <w:rPr>
          <w:rFonts w:cs="Arial"/>
          <w:szCs w:val="20"/>
        </w:rPr>
        <w:t xml:space="preserve">should not be seen as a purely administrative task and should only be delegated to those who have clinical knowledge of the patient. The ability of other professionals to complete </w:t>
      </w:r>
      <w:r>
        <w:rPr>
          <w:rFonts w:cs="Arial"/>
          <w:szCs w:val="20"/>
        </w:rPr>
        <w:t xml:space="preserve">health declarations </w:t>
      </w:r>
      <w:r w:rsidRPr="0045625E">
        <w:rPr>
          <w:rFonts w:cs="Arial"/>
          <w:szCs w:val="20"/>
        </w:rPr>
        <w:t xml:space="preserve">should not mean that medical professionals delegate the </w:t>
      </w:r>
      <w:proofErr w:type="gramStart"/>
      <w:r w:rsidRPr="0045625E">
        <w:rPr>
          <w:rFonts w:cs="Arial"/>
          <w:szCs w:val="20"/>
        </w:rPr>
        <w:t>task</w:t>
      </w:r>
      <w:proofErr w:type="gramEnd"/>
      <w:r w:rsidRPr="0045625E">
        <w:rPr>
          <w:rFonts w:cs="Arial"/>
          <w:szCs w:val="20"/>
        </w:rPr>
        <w:t xml:space="preserve"> and the workload is just shifted to others.</w:t>
      </w:r>
    </w:p>
    <w:p w14:paraId="6FB2BBDA" w14:textId="33E777E5" w:rsidR="0045625E" w:rsidRDefault="0045625E" w:rsidP="00C56794">
      <w:pPr>
        <w:rPr>
          <w:rFonts w:cs="Arial"/>
          <w:szCs w:val="20"/>
        </w:rPr>
      </w:pPr>
      <w:r>
        <w:rPr>
          <w:rFonts w:cs="Arial"/>
          <w:szCs w:val="20"/>
        </w:rPr>
        <w:t>The completion of health declaration is perhaps not the best use of pharmacists working in GP practices time.</w:t>
      </w:r>
      <w:r w:rsidR="00746811">
        <w:rPr>
          <w:rFonts w:cs="Arial"/>
          <w:szCs w:val="20"/>
        </w:rPr>
        <w:t xml:space="preserve"> </w:t>
      </w:r>
      <w:r>
        <w:rPr>
          <w:rFonts w:cs="Arial"/>
          <w:szCs w:val="20"/>
        </w:rPr>
        <w:t>They would be better placed to undertake structured medication reviews and more clinical face to face aspects of care.</w:t>
      </w:r>
    </w:p>
    <w:p w14:paraId="000B5C06" w14:textId="03D7A744" w:rsidR="0045625E" w:rsidRDefault="0045625E" w:rsidP="00C56794">
      <w:pPr>
        <w:rPr>
          <w:rFonts w:cs="Arial"/>
          <w:szCs w:val="20"/>
        </w:rPr>
      </w:pPr>
      <w:r>
        <w:rPr>
          <w:rFonts w:cs="Arial"/>
          <w:szCs w:val="20"/>
        </w:rPr>
        <w:t>As this is not a contractual obligation and currently GPs charge for this service, the implications of the health declaration being completed by a pharmacist not directly employed by the practice need to be considered. This is likely to include many clinical pharmacists employed under the ARRS scheme</w:t>
      </w:r>
      <w:r w:rsidR="00FF5EA4">
        <w:rPr>
          <w:rFonts w:cs="Arial"/>
          <w:szCs w:val="20"/>
        </w:rPr>
        <w:t xml:space="preserve"> where this activity is not part of the PCN DES and who would not be covered under their indemnity insurance</w:t>
      </w:r>
      <w:r>
        <w:rPr>
          <w:rFonts w:cs="Arial"/>
          <w:szCs w:val="20"/>
        </w:rPr>
        <w:t>.</w:t>
      </w:r>
    </w:p>
    <w:p w14:paraId="6CB24C0A" w14:textId="3753C9B2" w:rsidR="0045625E" w:rsidRDefault="0045625E" w:rsidP="00C56794">
      <w:pPr>
        <w:rPr>
          <w:rFonts w:cs="Arial"/>
          <w:szCs w:val="20"/>
        </w:rPr>
      </w:pPr>
      <w:r>
        <w:rPr>
          <w:rFonts w:cs="Arial"/>
          <w:szCs w:val="20"/>
        </w:rPr>
        <w:t>The following should also apply to the completion of health declarations:</w:t>
      </w:r>
    </w:p>
    <w:p w14:paraId="60C72D74" w14:textId="77777777" w:rsidR="0045625E" w:rsidRDefault="0045625E" w:rsidP="0045625E">
      <w:pPr>
        <w:numPr>
          <w:ilvl w:val="0"/>
          <w:numId w:val="3"/>
        </w:numPr>
        <w:rPr>
          <w:rFonts w:cs="Arial"/>
          <w:szCs w:val="20"/>
        </w:rPr>
      </w:pPr>
      <w:r w:rsidRPr="0045625E">
        <w:rPr>
          <w:rFonts w:cs="Arial"/>
          <w:szCs w:val="20"/>
        </w:rPr>
        <w:t xml:space="preserve">The signing of the </w:t>
      </w:r>
      <w:r>
        <w:rPr>
          <w:rFonts w:cs="Arial"/>
          <w:szCs w:val="20"/>
        </w:rPr>
        <w:t xml:space="preserve">health declaration </w:t>
      </w:r>
      <w:r w:rsidRPr="0045625E">
        <w:rPr>
          <w:rFonts w:cs="Arial"/>
          <w:szCs w:val="20"/>
        </w:rPr>
        <w:t xml:space="preserve">needs to be relevant to the clinical consultation and only undertaken where it aligns with the pharmacist’s case </w:t>
      </w:r>
      <w:proofErr w:type="gramStart"/>
      <w:r w:rsidRPr="0045625E">
        <w:rPr>
          <w:rFonts w:cs="Arial"/>
          <w:szCs w:val="20"/>
        </w:rPr>
        <w:t>load</w:t>
      </w:r>
      <w:proofErr w:type="gramEnd"/>
    </w:p>
    <w:p w14:paraId="1416AF44" w14:textId="77777777" w:rsidR="0045625E" w:rsidRDefault="0045625E" w:rsidP="0045625E">
      <w:pPr>
        <w:numPr>
          <w:ilvl w:val="0"/>
          <w:numId w:val="3"/>
        </w:numPr>
        <w:rPr>
          <w:rFonts w:cs="Arial"/>
          <w:szCs w:val="20"/>
        </w:rPr>
      </w:pPr>
      <w:r w:rsidRPr="0045625E">
        <w:rPr>
          <w:rFonts w:cs="Arial"/>
          <w:szCs w:val="20"/>
        </w:rPr>
        <w:t xml:space="preserve">There must be access to a single patient record to enable the clinician signing the </w:t>
      </w:r>
      <w:r>
        <w:rPr>
          <w:rFonts w:cs="Arial"/>
          <w:szCs w:val="20"/>
        </w:rPr>
        <w:t xml:space="preserve">health declaration </w:t>
      </w:r>
      <w:r w:rsidRPr="0045625E">
        <w:rPr>
          <w:rFonts w:cs="Arial"/>
          <w:szCs w:val="20"/>
        </w:rPr>
        <w:t xml:space="preserve">to have access to all the relevant </w:t>
      </w:r>
      <w:proofErr w:type="gramStart"/>
      <w:r w:rsidRPr="0045625E">
        <w:rPr>
          <w:rFonts w:cs="Arial"/>
          <w:szCs w:val="20"/>
        </w:rPr>
        <w:t>information</w:t>
      </w:r>
      <w:proofErr w:type="gramEnd"/>
    </w:p>
    <w:p w14:paraId="38249E48" w14:textId="77777777" w:rsidR="0045625E" w:rsidRDefault="0045625E" w:rsidP="0045625E">
      <w:pPr>
        <w:numPr>
          <w:ilvl w:val="0"/>
          <w:numId w:val="3"/>
        </w:numPr>
        <w:rPr>
          <w:rFonts w:cs="Arial"/>
          <w:szCs w:val="20"/>
        </w:rPr>
      </w:pPr>
      <w:r w:rsidRPr="0045625E">
        <w:rPr>
          <w:rFonts w:cs="Arial"/>
          <w:szCs w:val="20"/>
        </w:rPr>
        <w:t xml:space="preserve">The process and infrastructure should enable digital </w:t>
      </w:r>
      <w:proofErr w:type="gramStart"/>
      <w:r w:rsidRPr="0045625E">
        <w:rPr>
          <w:rFonts w:cs="Arial"/>
          <w:szCs w:val="20"/>
        </w:rPr>
        <w:t>signatures</w:t>
      </w:r>
      <w:proofErr w:type="gramEnd"/>
    </w:p>
    <w:p w14:paraId="1EC55430" w14:textId="77777777" w:rsidR="0045625E" w:rsidRDefault="0045625E" w:rsidP="0045625E">
      <w:pPr>
        <w:numPr>
          <w:ilvl w:val="0"/>
          <w:numId w:val="3"/>
        </w:numPr>
        <w:rPr>
          <w:rFonts w:cs="Arial"/>
          <w:szCs w:val="20"/>
        </w:rPr>
      </w:pPr>
      <w:r w:rsidRPr="0045625E">
        <w:rPr>
          <w:rFonts w:cs="Arial"/>
          <w:szCs w:val="20"/>
        </w:rPr>
        <w:t xml:space="preserve">Workload should not be significantly impacted for any one individual </w:t>
      </w:r>
      <w:proofErr w:type="gramStart"/>
      <w:r w:rsidRPr="0045625E">
        <w:rPr>
          <w:rFonts w:cs="Arial"/>
          <w:szCs w:val="20"/>
        </w:rPr>
        <w:t>pharmacist</w:t>
      </w:r>
      <w:proofErr w:type="gramEnd"/>
    </w:p>
    <w:p w14:paraId="0B52CE86" w14:textId="6C0C6805" w:rsidR="0045625E" w:rsidRPr="0045625E" w:rsidRDefault="0045625E" w:rsidP="0045625E">
      <w:pPr>
        <w:numPr>
          <w:ilvl w:val="0"/>
          <w:numId w:val="3"/>
        </w:numPr>
        <w:rPr>
          <w:rFonts w:cs="Arial"/>
          <w:szCs w:val="20"/>
        </w:rPr>
      </w:pPr>
      <w:r w:rsidRPr="0045625E">
        <w:rPr>
          <w:rFonts w:cs="Arial"/>
          <w:szCs w:val="20"/>
        </w:rPr>
        <w:t>Healthcare professionals should undertake</w:t>
      </w:r>
      <w:r>
        <w:rPr>
          <w:rFonts w:cs="Arial"/>
          <w:szCs w:val="20"/>
        </w:rPr>
        <w:t xml:space="preserve"> </w:t>
      </w:r>
      <w:r w:rsidRPr="0045625E">
        <w:rPr>
          <w:rFonts w:cs="Arial"/>
          <w:szCs w:val="20"/>
        </w:rPr>
        <w:t>national training available to support them in</w:t>
      </w:r>
      <w:r w:rsidR="00FF5EA4">
        <w:rPr>
          <w:rFonts w:cs="Arial"/>
          <w:szCs w:val="20"/>
        </w:rPr>
        <w:t xml:space="preserve"> </w:t>
      </w:r>
      <w:r>
        <w:rPr>
          <w:rFonts w:cs="Arial"/>
          <w:szCs w:val="20"/>
        </w:rPr>
        <w:t>completion of health declarations</w:t>
      </w:r>
      <w:r w:rsidRPr="0045625E">
        <w:rPr>
          <w:rFonts w:cs="Arial"/>
          <w:szCs w:val="20"/>
        </w:rPr>
        <w:t>.</w:t>
      </w:r>
    </w:p>
    <w:p w14:paraId="1C349D9E" w14:textId="77777777" w:rsidR="0045625E" w:rsidRPr="00C56794" w:rsidRDefault="0045625E" w:rsidP="00C56794">
      <w:pPr>
        <w:rPr>
          <w:rFonts w:cs="Arial"/>
          <w:szCs w:val="20"/>
        </w:rPr>
      </w:pPr>
    </w:p>
    <w:p w14:paraId="55AEC466" w14:textId="77777777" w:rsidR="00C56794" w:rsidRPr="00C56794" w:rsidRDefault="00C56794" w:rsidP="00C56794">
      <w:pPr>
        <w:rPr>
          <w:rFonts w:cs="Arial"/>
          <w:color w:val="A6A6A6" w:themeColor="background1" w:themeShade="A6"/>
          <w:szCs w:val="20"/>
        </w:rPr>
      </w:pPr>
      <w:r w:rsidRPr="00C56794">
        <w:rPr>
          <w:rFonts w:cs="Arial"/>
          <w:color w:val="A6A6A6" w:themeColor="background1" w:themeShade="A6"/>
          <w:szCs w:val="20"/>
        </w:rPr>
        <w:t>Question 2: Have you ever experienced an issue when seeking approval to operate or expand as a childminder from any of the below? Please select all that apply.  This could include issues with your tenancy agreement, restrictive covenants, LA planning permission, or being refused permission to operate.</w:t>
      </w:r>
    </w:p>
    <w:p w14:paraId="3B2A0D2B" w14:textId="77777777" w:rsidR="00C56794" w:rsidRPr="00C56794" w:rsidRDefault="00C56794" w:rsidP="00C56794">
      <w:pPr>
        <w:pStyle w:val="ListParagraph"/>
        <w:numPr>
          <w:ilvl w:val="0"/>
          <w:numId w:val="2"/>
        </w:numPr>
        <w:rPr>
          <w:rFonts w:cs="Arial"/>
          <w:color w:val="A6A6A6" w:themeColor="background1" w:themeShade="A6"/>
          <w:szCs w:val="20"/>
        </w:rPr>
      </w:pPr>
      <w:r w:rsidRPr="00C56794">
        <w:rPr>
          <w:rFonts w:cs="Arial"/>
          <w:color w:val="A6A6A6" w:themeColor="background1" w:themeShade="A6"/>
          <w:szCs w:val="20"/>
        </w:rPr>
        <w:lastRenderedPageBreak/>
        <w:t>Private landlord</w:t>
      </w:r>
    </w:p>
    <w:p w14:paraId="66216025" w14:textId="77777777" w:rsidR="00C56794" w:rsidRPr="00C56794" w:rsidRDefault="00C56794" w:rsidP="00C56794">
      <w:pPr>
        <w:pStyle w:val="ListParagraph"/>
        <w:numPr>
          <w:ilvl w:val="0"/>
          <w:numId w:val="2"/>
        </w:numPr>
        <w:rPr>
          <w:rFonts w:cs="Arial"/>
          <w:color w:val="A6A6A6" w:themeColor="background1" w:themeShade="A6"/>
          <w:szCs w:val="20"/>
        </w:rPr>
      </w:pPr>
      <w:r w:rsidRPr="00C56794">
        <w:rPr>
          <w:rFonts w:cs="Arial"/>
          <w:color w:val="A6A6A6" w:themeColor="background1" w:themeShade="A6"/>
          <w:szCs w:val="20"/>
        </w:rPr>
        <w:t>Social housing landlord</w:t>
      </w:r>
    </w:p>
    <w:p w14:paraId="3DB73C2E" w14:textId="77777777" w:rsidR="00C56794" w:rsidRPr="00C56794" w:rsidRDefault="00C56794" w:rsidP="00C56794">
      <w:pPr>
        <w:pStyle w:val="ListParagraph"/>
        <w:numPr>
          <w:ilvl w:val="0"/>
          <w:numId w:val="2"/>
        </w:numPr>
        <w:rPr>
          <w:rFonts w:cs="Arial"/>
          <w:color w:val="A6A6A6" w:themeColor="background1" w:themeShade="A6"/>
          <w:szCs w:val="20"/>
        </w:rPr>
      </w:pPr>
      <w:r w:rsidRPr="00C56794">
        <w:rPr>
          <w:rFonts w:cs="Arial"/>
          <w:color w:val="A6A6A6" w:themeColor="background1" w:themeShade="A6"/>
          <w:szCs w:val="20"/>
        </w:rPr>
        <w:t>Housing association landlord</w:t>
      </w:r>
    </w:p>
    <w:p w14:paraId="4C0B129E" w14:textId="77777777" w:rsidR="00C56794" w:rsidRPr="00C56794" w:rsidRDefault="00C56794" w:rsidP="00C56794">
      <w:pPr>
        <w:pStyle w:val="ListParagraph"/>
        <w:numPr>
          <w:ilvl w:val="0"/>
          <w:numId w:val="2"/>
        </w:numPr>
        <w:rPr>
          <w:rFonts w:cs="Arial"/>
          <w:color w:val="A6A6A6" w:themeColor="background1" w:themeShade="A6"/>
          <w:szCs w:val="20"/>
        </w:rPr>
      </w:pPr>
      <w:r w:rsidRPr="00C56794">
        <w:rPr>
          <w:rFonts w:cs="Arial"/>
          <w:color w:val="A6A6A6" w:themeColor="background1" w:themeShade="A6"/>
          <w:szCs w:val="20"/>
        </w:rPr>
        <w:t>Property developer</w:t>
      </w:r>
    </w:p>
    <w:p w14:paraId="7EEB1A1A" w14:textId="77777777" w:rsidR="00C56794" w:rsidRPr="00C56794" w:rsidRDefault="00C56794" w:rsidP="00C56794">
      <w:pPr>
        <w:pStyle w:val="ListParagraph"/>
        <w:numPr>
          <w:ilvl w:val="0"/>
          <w:numId w:val="2"/>
        </w:numPr>
        <w:rPr>
          <w:rFonts w:cs="Arial"/>
          <w:color w:val="A6A6A6" w:themeColor="background1" w:themeShade="A6"/>
          <w:szCs w:val="20"/>
        </w:rPr>
      </w:pPr>
      <w:r w:rsidRPr="00C56794">
        <w:rPr>
          <w:rFonts w:cs="Arial"/>
          <w:color w:val="A6A6A6" w:themeColor="background1" w:themeShade="A6"/>
          <w:szCs w:val="20"/>
        </w:rPr>
        <w:t>Leaseholder group</w:t>
      </w:r>
    </w:p>
    <w:p w14:paraId="4F5984FB" w14:textId="77777777" w:rsidR="00C56794" w:rsidRPr="00C56794" w:rsidRDefault="00C56794" w:rsidP="00C56794">
      <w:pPr>
        <w:pStyle w:val="ListParagraph"/>
        <w:numPr>
          <w:ilvl w:val="0"/>
          <w:numId w:val="2"/>
        </w:numPr>
        <w:rPr>
          <w:rFonts w:cs="Arial"/>
          <w:color w:val="A6A6A6" w:themeColor="background1" w:themeShade="A6"/>
          <w:szCs w:val="20"/>
        </w:rPr>
      </w:pPr>
      <w:r w:rsidRPr="00C56794">
        <w:rPr>
          <w:rFonts w:cs="Arial"/>
          <w:color w:val="A6A6A6" w:themeColor="background1" w:themeShade="A6"/>
          <w:szCs w:val="20"/>
        </w:rPr>
        <w:t>LA</w:t>
      </w:r>
    </w:p>
    <w:p w14:paraId="6839E8BA" w14:textId="77777777" w:rsidR="00C56794" w:rsidRPr="00C56794" w:rsidRDefault="00C56794" w:rsidP="00C56794">
      <w:pPr>
        <w:pStyle w:val="ListParagraph"/>
        <w:numPr>
          <w:ilvl w:val="0"/>
          <w:numId w:val="2"/>
        </w:numPr>
        <w:rPr>
          <w:rFonts w:cs="Arial"/>
          <w:color w:val="A6A6A6" w:themeColor="background1" w:themeShade="A6"/>
          <w:szCs w:val="20"/>
        </w:rPr>
      </w:pPr>
      <w:r w:rsidRPr="00C56794">
        <w:rPr>
          <w:rFonts w:cs="Arial"/>
          <w:color w:val="A6A6A6" w:themeColor="background1" w:themeShade="A6"/>
          <w:szCs w:val="20"/>
        </w:rPr>
        <w:t xml:space="preserve">Other, not </w:t>
      </w:r>
      <w:proofErr w:type="gramStart"/>
      <w:r w:rsidRPr="00C56794">
        <w:rPr>
          <w:rFonts w:cs="Arial"/>
          <w:color w:val="A6A6A6" w:themeColor="background1" w:themeShade="A6"/>
          <w:szCs w:val="20"/>
        </w:rPr>
        <w:t>listed</w:t>
      </w:r>
      <w:proofErr w:type="gramEnd"/>
    </w:p>
    <w:p w14:paraId="33227F0C" w14:textId="77777777" w:rsidR="00C56794" w:rsidRPr="00C56794" w:rsidRDefault="00C56794" w:rsidP="00C56794">
      <w:pPr>
        <w:pStyle w:val="ListParagraph"/>
        <w:numPr>
          <w:ilvl w:val="0"/>
          <w:numId w:val="2"/>
        </w:numPr>
        <w:rPr>
          <w:rFonts w:cs="Arial"/>
          <w:color w:val="A6A6A6" w:themeColor="background1" w:themeShade="A6"/>
          <w:szCs w:val="20"/>
        </w:rPr>
      </w:pPr>
      <w:r w:rsidRPr="00C56794">
        <w:rPr>
          <w:rFonts w:cs="Arial"/>
          <w:color w:val="A6A6A6" w:themeColor="background1" w:themeShade="A6"/>
          <w:szCs w:val="20"/>
        </w:rPr>
        <w:t xml:space="preserve">I have not experienced property approval </w:t>
      </w:r>
      <w:proofErr w:type="gramStart"/>
      <w:r w:rsidRPr="00C56794">
        <w:rPr>
          <w:rFonts w:cs="Arial"/>
          <w:color w:val="A6A6A6" w:themeColor="background1" w:themeShade="A6"/>
          <w:szCs w:val="20"/>
        </w:rPr>
        <w:t>issues</w:t>
      </w:r>
      <w:proofErr w:type="gramEnd"/>
      <w:r w:rsidRPr="00C56794">
        <w:rPr>
          <w:rFonts w:cs="Arial"/>
          <w:color w:val="A6A6A6" w:themeColor="background1" w:themeShade="A6"/>
          <w:szCs w:val="20"/>
        </w:rPr>
        <w:t xml:space="preserve">  </w:t>
      </w:r>
    </w:p>
    <w:p w14:paraId="4D020B26" w14:textId="77777777" w:rsidR="00C56794" w:rsidRP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3: Would you be willing to have a childminder as a tenant?  </w:t>
      </w:r>
    </w:p>
    <w:p w14:paraId="5F3DAD9D" w14:textId="77777777" w:rsidR="00C56794" w:rsidRP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4: Beyond mortgage and insurance restrictions is there anything that would reduce your perceived risk of a childminder operating from your property?  This could be more information on childminder property requirements (for example floor space and fire safety), insurance products that cover wear and tear or damage to the property, or anything else beyond the guidance which is already available.  </w:t>
      </w:r>
    </w:p>
    <w:p w14:paraId="3AFF1ED6" w14:textId="62728AA4" w:rsidR="00C56794" w:rsidRDefault="00C56794" w:rsidP="00C56794">
      <w:pPr>
        <w:rPr>
          <w:rFonts w:cs="Arial"/>
          <w:color w:val="A6A6A6" w:themeColor="background1" w:themeShade="A6"/>
          <w:szCs w:val="20"/>
        </w:rPr>
      </w:pPr>
      <w:r w:rsidRPr="00C56794">
        <w:rPr>
          <w:rFonts w:cs="Arial"/>
          <w:color w:val="A6A6A6" w:themeColor="background1" w:themeShade="A6"/>
          <w:szCs w:val="20"/>
        </w:rPr>
        <w:t>Question 5: Are there any examples of good practice you can share of how LAs, property developers, landlords or other organisations can support childminders to overcome property barriers to childminding?</w:t>
      </w:r>
    </w:p>
    <w:p w14:paraId="2DB969CD" w14:textId="5FD5E585" w:rsidR="00C56794" w:rsidRDefault="00C56794" w:rsidP="00C56794">
      <w:pPr>
        <w:rPr>
          <w:rFonts w:cs="Arial"/>
          <w:color w:val="A6A6A6" w:themeColor="background1" w:themeShade="A6"/>
          <w:szCs w:val="20"/>
        </w:rPr>
      </w:pPr>
      <w:r w:rsidRPr="00C56794">
        <w:rPr>
          <w:rFonts w:cs="Arial"/>
          <w:color w:val="A6A6A6" w:themeColor="background1" w:themeShade="A6"/>
          <w:szCs w:val="20"/>
        </w:rPr>
        <w:t>Question 6: Are there any further actions you think the government could take to increase the recruitment of childminders?</w:t>
      </w:r>
    </w:p>
    <w:p w14:paraId="01548FDC"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7: If you are a current or former early years provider, have you ever been in receipt of entitlement funding? This is funding paid to you by your LA to deliver the early years entitlements. </w:t>
      </w:r>
    </w:p>
    <w:p w14:paraId="697D1E36"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8: If you are a current or former early years provider, to what extent do you agree or disagree that receiving entitlement funding payments less frequently than monthly is a problem for you? </w:t>
      </w:r>
    </w:p>
    <w:p w14:paraId="265ED18D"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9: If you are a current or former early years provider, have you ever been in receipt of Universal Credit? This is a means-tested payment to help with your living costs. </w:t>
      </w:r>
    </w:p>
    <w:p w14:paraId="0C9A36D7"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10: To what extent do you agree or disagree that receiving entitlement funding payments less frequently than monthly affects your eligibility for Universal Credit? </w:t>
      </w:r>
    </w:p>
    <w:p w14:paraId="5759E8F4" w14:textId="1E99C7FF" w:rsidR="00C56794" w:rsidRDefault="00C56794" w:rsidP="00C56794">
      <w:pPr>
        <w:rPr>
          <w:rFonts w:cs="Arial"/>
          <w:color w:val="A6A6A6" w:themeColor="background1" w:themeShade="A6"/>
          <w:szCs w:val="20"/>
        </w:rPr>
      </w:pPr>
      <w:r w:rsidRPr="00C56794">
        <w:rPr>
          <w:rFonts w:cs="Arial"/>
          <w:color w:val="A6A6A6" w:themeColor="background1" w:themeShade="A6"/>
          <w:szCs w:val="20"/>
        </w:rPr>
        <w:t>Question 11: Have you experienced any other challenges in relation to being a childminder and your universal credit payments?</w:t>
      </w:r>
    </w:p>
    <w:p w14:paraId="0C70B7E1"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If you are responding on behalf of an LA… </w:t>
      </w:r>
    </w:p>
    <w:p w14:paraId="645A530C"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12: Do you offer childminders, providers of CODP, and other early years providers the option to be paid monthly, if requested? If no, what challenges do you foresee paying childminders and/or all providers monthly? For example, paying some providers termly or twice termly and others monthly. </w:t>
      </w:r>
    </w:p>
    <w:p w14:paraId="0445634E"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13: To what extent do you agree or disagree with our proposal to strengthen expectations that LAs should pay childminders and providers of CODP monthly, if they request it? This could be achieved by amending the early education and childcare statutory guidance to be clearer that we expect LAs to pay childminders/providers of CODP monthly if they request it. </w:t>
      </w:r>
    </w:p>
    <w:p w14:paraId="03ECA7FF"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14: To what extent do you agree or disagree with our proposal to require LAs to pay childminders and providers of CODP monthly, if they request it? This could be achieved by introducing new legislation that requires LAs to pay childminders/providers of CODP monthly if they request it. </w:t>
      </w:r>
    </w:p>
    <w:p w14:paraId="7043CCC2"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15: To what extent do you agree or disagree with our proposal to strengthen expectations that LAs should pay all early </w:t>
      </w:r>
      <w:proofErr w:type="gramStart"/>
      <w:r w:rsidRPr="00C56794">
        <w:rPr>
          <w:rFonts w:cs="Arial"/>
          <w:color w:val="A6A6A6" w:themeColor="background1" w:themeShade="A6"/>
          <w:szCs w:val="20"/>
        </w:rPr>
        <w:t>years</w:t>
      </w:r>
      <w:proofErr w:type="gramEnd"/>
      <w:r w:rsidRPr="00C56794">
        <w:rPr>
          <w:rFonts w:cs="Arial"/>
          <w:color w:val="A6A6A6" w:themeColor="background1" w:themeShade="A6"/>
          <w:szCs w:val="20"/>
        </w:rPr>
        <w:t xml:space="preserve"> providers (including childminders and providers of CODP) monthly, </w:t>
      </w:r>
      <w:r w:rsidRPr="00C56794">
        <w:rPr>
          <w:rFonts w:cs="Arial"/>
          <w:color w:val="A6A6A6" w:themeColor="background1" w:themeShade="A6"/>
          <w:szCs w:val="20"/>
        </w:rPr>
        <w:lastRenderedPageBreak/>
        <w:t xml:space="preserve">if they request it? This could be achieved by amending the early education and childcare statutory guidance to be clearer that we expect LAs to pay all early </w:t>
      </w:r>
      <w:proofErr w:type="gramStart"/>
      <w:r w:rsidRPr="00C56794">
        <w:rPr>
          <w:rFonts w:cs="Arial"/>
          <w:color w:val="A6A6A6" w:themeColor="background1" w:themeShade="A6"/>
          <w:szCs w:val="20"/>
        </w:rPr>
        <w:t>years</w:t>
      </w:r>
      <w:proofErr w:type="gramEnd"/>
      <w:r w:rsidRPr="00C56794">
        <w:rPr>
          <w:rFonts w:cs="Arial"/>
          <w:color w:val="A6A6A6" w:themeColor="background1" w:themeShade="A6"/>
          <w:szCs w:val="20"/>
        </w:rPr>
        <w:t xml:space="preserve"> providers monthly if they request it. </w:t>
      </w:r>
    </w:p>
    <w:p w14:paraId="2E152D21" w14:textId="28F5943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16: To what extent do you agree or disagree with our proposal to require LAs to pay all early </w:t>
      </w:r>
      <w:proofErr w:type="gramStart"/>
      <w:r w:rsidRPr="00C56794">
        <w:rPr>
          <w:rFonts w:cs="Arial"/>
          <w:color w:val="A6A6A6" w:themeColor="background1" w:themeShade="A6"/>
          <w:szCs w:val="20"/>
        </w:rPr>
        <w:t>years</w:t>
      </w:r>
      <w:proofErr w:type="gramEnd"/>
      <w:r w:rsidRPr="00C56794">
        <w:rPr>
          <w:rFonts w:cs="Arial"/>
          <w:color w:val="A6A6A6" w:themeColor="background1" w:themeShade="A6"/>
          <w:szCs w:val="20"/>
        </w:rPr>
        <w:t xml:space="preserve"> providers (including childminders and providers of CODP) monthly, if they request it? This could be achieved by introducing new legislation that requires LAs to pay all early </w:t>
      </w:r>
      <w:proofErr w:type="gramStart"/>
      <w:r w:rsidRPr="00C56794">
        <w:rPr>
          <w:rFonts w:cs="Arial"/>
          <w:color w:val="A6A6A6" w:themeColor="background1" w:themeShade="A6"/>
          <w:szCs w:val="20"/>
        </w:rPr>
        <w:t>years</w:t>
      </w:r>
      <w:proofErr w:type="gramEnd"/>
      <w:r w:rsidRPr="00C56794">
        <w:rPr>
          <w:rFonts w:cs="Arial"/>
          <w:color w:val="A6A6A6" w:themeColor="background1" w:themeShade="A6"/>
          <w:szCs w:val="20"/>
        </w:rPr>
        <w:t xml:space="preserve"> providers monthly if they request it.</w:t>
      </w:r>
    </w:p>
    <w:p w14:paraId="46C388EF"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17: If you access support, what type of support do you access? </w:t>
      </w:r>
    </w:p>
    <w:p w14:paraId="178ADA9B"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18: If you access support, where do you access this support from? </w:t>
      </w:r>
    </w:p>
    <w:p w14:paraId="7300E0CF"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19: If you access support, to what extent do you agree or disagree this support helps you remain in the childminding profession? </w:t>
      </w:r>
    </w:p>
    <w:p w14:paraId="0FE8A035"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20: How could support be offered in a more effective or accessible way? </w:t>
      </w:r>
    </w:p>
    <w:p w14:paraId="1ACB0AD0" w14:textId="03BD4ABB" w:rsidR="00C56794" w:rsidRDefault="00C56794" w:rsidP="00C56794">
      <w:pPr>
        <w:rPr>
          <w:rFonts w:cs="Arial"/>
          <w:color w:val="A6A6A6" w:themeColor="background1" w:themeShade="A6"/>
          <w:szCs w:val="20"/>
        </w:rPr>
      </w:pPr>
      <w:r w:rsidRPr="00C56794">
        <w:rPr>
          <w:rFonts w:cs="Arial"/>
          <w:color w:val="A6A6A6" w:themeColor="background1" w:themeShade="A6"/>
          <w:szCs w:val="20"/>
        </w:rPr>
        <w:t>Question 21: Do you have any evidence you can share on how childminder support can improve retention?</w:t>
      </w:r>
    </w:p>
    <w:p w14:paraId="39658F19" w14:textId="77777777" w:rsidR="00C56794" w:rsidRDefault="00C56794" w:rsidP="00C56794">
      <w:pPr>
        <w:rPr>
          <w:rFonts w:cs="Arial"/>
          <w:color w:val="A6A6A6" w:themeColor="background1" w:themeShade="A6"/>
          <w:szCs w:val="20"/>
        </w:rPr>
      </w:pPr>
      <w:r w:rsidRPr="00C56794">
        <w:rPr>
          <w:rFonts w:cs="Arial"/>
          <w:color w:val="A6A6A6" w:themeColor="background1" w:themeShade="A6"/>
          <w:szCs w:val="20"/>
        </w:rPr>
        <w:t xml:space="preserve">Question 22: How can the department support childminders to benefit from the increased early years entitlements? </w:t>
      </w:r>
    </w:p>
    <w:p w14:paraId="20249052" w14:textId="668C8F62" w:rsidR="00C56794" w:rsidRDefault="00C56794" w:rsidP="00C56794">
      <w:pPr>
        <w:rPr>
          <w:rFonts w:cs="Arial"/>
          <w:color w:val="A6A6A6" w:themeColor="background1" w:themeShade="A6"/>
          <w:szCs w:val="20"/>
        </w:rPr>
      </w:pPr>
      <w:r w:rsidRPr="00C56794">
        <w:rPr>
          <w:rFonts w:cs="Arial"/>
          <w:color w:val="A6A6A6" w:themeColor="background1" w:themeShade="A6"/>
          <w:szCs w:val="20"/>
        </w:rPr>
        <w:t>Question 23: How can the department support childminders to benefit from the wraparound childcare programme?</w:t>
      </w:r>
    </w:p>
    <w:p w14:paraId="232EAD60" w14:textId="38F83953" w:rsidR="00C56794" w:rsidRDefault="00C56794" w:rsidP="00C56794">
      <w:pPr>
        <w:rPr>
          <w:rFonts w:cs="Arial"/>
          <w:color w:val="A6A6A6" w:themeColor="background1" w:themeShade="A6"/>
          <w:szCs w:val="20"/>
        </w:rPr>
      </w:pPr>
      <w:r w:rsidRPr="00C56794">
        <w:rPr>
          <w:rFonts w:cs="Arial"/>
          <w:color w:val="A6A6A6" w:themeColor="background1" w:themeShade="A6"/>
          <w:szCs w:val="20"/>
        </w:rPr>
        <w:t>Question 24: Are there any further actions you think the government could take to increase the retention of childminders?</w:t>
      </w:r>
    </w:p>
    <w:p w14:paraId="7D12C158" w14:textId="77777777" w:rsidR="00C56794" w:rsidRPr="00C56794" w:rsidRDefault="00C56794" w:rsidP="00C56794">
      <w:pPr>
        <w:rPr>
          <w:rFonts w:cs="Arial"/>
          <w:szCs w:val="20"/>
        </w:rPr>
      </w:pPr>
    </w:p>
    <w:sectPr w:rsidR="00C56794" w:rsidRPr="00C56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1801"/>
    <w:multiLevelType w:val="hybridMultilevel"/>
    <w:tmpl w:val="2368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70453"/>
    <w:multiLevelType w:val="multilevel"/>
    <w:tmpl w:val="128E5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7770FE"/>
    <w:multiLevelType w:val="hybridMultilevel"/>
    <w:tmpl w:val="3CCA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080260">
    <w:abstractNumId w:val="0"/>
  </w:num>
  <w:num w:numId="2" w16cid:durableId="1723090524">
    <w:abstractNumId w:val="2"/>
  </w:num>
  <w:num w:numId="3" w16cid:durableId="69843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94"/>
    <w:rsid w:val="0045625E"/>
    <w:rsid w:val="00463DE4"/>
    <w:rsid w:val="004C0A30"/>
    <w:rsid w:val="00662503"/>
    <w:rsid w:val="006727A2"/>
    <w:rsid w:val="00746811"/>
    <w:rsid w:val="00AD14D6"/>
    <w:rsid w:val="00C56794"/>
    <w:rsid w:val="00C77A96"/>
    <w:rsid w:val="00FF5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233A"/>
  <w15:chartTrackingRefBased/>
  <w15:docId w15:val="{83847DEC-4AD0-496A-A2A2-2869832C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794"/>
    <w:pPr>
      <w:ind w:left="720"/>
      <w:contextualSpacing/>
    </w:pPr>
  </w:style>
  <w:style w:type="paragraph" w:styleId="NormalWeb">
    <w:name w:val="Normal (Web)"/>
    <w:basedOn w:val="Normal"/>
    <w:uiPriority w:val="99"/>
    <w:unhideWhenUsed/>
    <w:rsid w:val="00AD14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9566">
      <w:bodyDiv w:val="1"/>
      <w:marLeft w:val="0"/>
      <w:marRight w:val="0"/>
      <w:marTop w:val="0"/>
      <w:marBottom w:val="0"/>
      <w:divBdr>
        <w:top w:val="none" w:sz="0" w:space="0" w:color="auto"/>
        <w:left w:val="none" w:sz="0" w:space="0" w:color="auto"/>
        <w:bottom w:val="none" w:sz="0" w:space="0" w:color="auto"/>
        <w:right w:val="none" w:sz="0" w:space="0" w:color="auto"/>
      </w:divBdr>
    </w:div>
    <w:div w:id="574781042">
      <w:bodyDiv w:val="1"/>
      <w:marLeft w:val="0"/>
      <w:marRight w:val="0"/>
      <w:marTop w:val="0"/>
      <w:marBottom w:val="0"/>
      <w:divBdr>
        <w:top w:val="none" w:sz="0" w:space="0" w:color="auto"/>
        <w:left w:val="none" w:sz="0" w:space="0" w:color="auto"/>
        <w:bottom w:val="none" w:sz="0" w:space="0" w:color="auto"/>
        <w:right w:val="none" w:sz="0" w:space="0" w:color="auto"/>
      </w:divBdr>
    </w:div>
    <w:div w:id="17859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2</cp:revision>
  <dcterms:created xsi:type="dcterms:W3CDTF">2024-05-03T07:02:00Z</dcterms:created>
  <dcterms:modified xsi:type="dcterms:W3CDTF">2024-05-03T07:02:00Z</dcterms:modified>
</cp:coreProperties>
</file>