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F275" w14:textId="77777777" w:rsidR="00333C30" w:rsidRPr="002D7319" w:rsidRDefault="00333C30" w:rsidP="007C24CF">
      <w:pPr>
        <w:rPr>
          <w:rFonts w:ascii="Arial" w:hAnsi="Arial" w:cs="Arial"/>
          <w:b/>
        </w:rPr>
      </w:pPr>
    </w:p>
    <w:p w14:paraId="3D9C4BF8" w14:textId="77777777" w:rsidR="008F1ADB" w:rsidRPr="002D7319" w:rsidRDefault="002D7319" w:rsidP="007C24CF">
      <w:pPr>
        <w:jc w:val="center"/>
        <w:rPr>
          <w:rFonts w:ascii="Arial" w:hAnsi="Arial" w:cs="Arial"/>
          <w:b/>
          <w:sz w:val="28"/>
          <w:szCs w:val="28"/>
        </w:rPr>
      </w:pPr>
      <w:r w:rsidRPr="002D7319">
        <w:rPr>
          <w:rFonts w:ascii="Arial" w:hAnsi="Arial" w:cs="Arial"/>
          <w:b/>
          <w:sz w:val="28"/>
          <w:szCs w:val="28"/>
        </w:rPr>
        <w:t>Document title</w:t>
      </w:r>
      <w:r w:rsidRPr="00C3206C">
        <w:rPr>
          <w:rFonts w:ascii="Arial" w:hAnsi="Arial" w:cs="Arial"/>
          <w:b/>
          <w:sz w:val="28"/>
          <w:szCs w:val="28"/>
        </w:rPr>
        <w:t>:</w:t>
      </w:r>
      <w:r w:rsidR="00C3206C" w:rsidRPr="00C3206C">
        <w:rPr>
          <w:rFonts w:ascii="Arial" w:hAnsi="Arial" w:cs="Arial"/>
          <w:b/>
          <w:sz w:val="28"/>
          <w:szCs w:val="28"/>
        </w:rPr>
        <w:t xml:space="preserve"> All Wales Common Ailments Service formulary – Monograph for urinary tract infection in women</w:t>
      </w:r>
    </w:p>
    <w:p w14:paraId="301B3E4A" w14:textId="77777777" w:rsidR="006074D1" w:rsidRPr="002D7319" w:rsidRDefault="002D7319" w:rsidP="008F1ADB">
      <w:pPr>
        <w:jc w:val="center"/>
        <w:rPr>
          <w:rFonts w:ascii="Arial" w:hAnsi="Arial" w:cs="Arial"/>
          <w:b/>
          <w:sz w:val="28"/>
          <w:szCs w:val="28"/>
        </w:rPr>
      </w:pPr>
      <w:r w:rsidRPr="002D7319">
        <w:rPr>
          <w:rFonts w:ascii="Arial" w:hAnsi="Arial" w:cs="Arial"/>
          <w:b/>
          <w:sz w:val="28"/>
          <w:szCs w:val="28"/>
        </w:rPr>
        <w:t xml:space="preserve">Closing date: </w:t>
      </w:r>
      <w:r w:rsidR="00C3206C" w:rsidRPr="00C3206C">
        <w:rPr>
          <w:rFonts w:ascii="Arial" w:hAnsi="Arial" w:cs="Arial"/>
          <w:b/>
          <w:sz w:val="28"/>
          <w:szCs w:val="28"/>
        </w:rPr>
        <w:t>Monday 13 November 2023</w:t>
      </w:r>
    </w:p>
    <w:p w14:paraId="20316484" w14:textId="77777777" w:rsidR="00333C30" w:rsidRPr="002D7319" w:rsidRDefault="00333C30" w:rsidP="00A17C67">
      <w:pPr>
        <w:rPr>
          <w:rFonts w:ascii="Arial" w:hAnsi="Arial" w:cs="Arial"/>
        </w:rPr>
      </w:pPr>
    </w:p>
    <w:p w14:paraId="21E9E84F" w14:textId="77777777" w:rsidR="006074D1" w:rsidRPr="002D7319" w:rsidRDefault="006074D1" w:rsidP="00A17C67">
      <w:pPr>
        <w:rPr>
          <w:rFonts w:ascii="Arial" w:hAnsi="Arial" w:cs="Arial"/>
        </w:rPr>
      </w:pPr>
    </w:p>
    <w:p w14:paraId="2581D5B3" w14:textId="77777777" w:rsidR="0060227F" w:rsidRPr="002D7319" w:rsidRDefault="00A7001E" w:rsidP="003B1018">
      <w:pPr>
        <w:rPr>
          <w:rFonts w:ascii="Arial" w:hAnsi="Arial" w:cs="Arial"/>
        </w:rPr>
      </w:pPr>
      <w:r w:rsidRPr="002D7319">
        <w:rPr>
          <w:rFonts w:ascii="Arial" w:hAnsi="Arial" w:cs="Arial"/>
        </w:rPr>
        <w:t xml:space="preserve">Please </w:t>
      </w:r>
      <w:r w:rsidR="001F4E15">
        <w:rPr>
          <w:rFonts w:ascii="Arial" w:hAnsi="Arial" w:cs="Arial"/>
        </w:rPr>
        <w:t>fill in</w:t>
      </w:r>
      <w:r w:rsidRPr="002D7319">
        <w:rPr>
          <w:rFonts w:ascii="Arial" w:hAnsi="Arial" w:cs="Arial"/>
        </w:rPr>
        <w:t xml:space="preserve"> </w:t>
      </w:r>
      <w:r w:rsidR="006074D1" w:rsidRPr="002D7319">
        <w:rPr>
          <w:rFonts w:ascii="Arial" w:hAnsi="Arial" w:cs="Arial"/>
        </w:rPr>
        <w:t>your personal details</w:t>
      </w:r>
      <w:r w:rsidR="001F4E15">
        <w:rPr>
          <w:rFonts w:ascii="Arial" w:hAnsi="Arial" w:cs="Arial"/>
        </w:rPr>
        <w:t xml:space="preserve">, comments </w:t>
      </w:r>
      <w:r w:rsidR="001F4E15" w:rsidRPr="001F4E15">
        <w:rPr>
          <w:rFonts w:ascii="Arial" w:hAnsi="Arial" w:cs="Arial"/>
          <w:b/>
        </w:rPr>
        <w:t>and</w:t>
      </w:r>
      <w:r w:rsidR="001F4E15">
        <w:rPr>
          <w:rFonts w:ascii="Arial" w:hAnsi="Arial" w:cs="Arial"/>
        </w:rPr>
        <w:t xml:space="preserve"> your Declaration of Interests, in the consultation</w:t>
      </w:r>
      <w:r w:rsidRPr="002D7319">
        <w:rPr>
          <w:rFonts w:ascii="Arial" w:hAnsi="Arial" w:cs="Arial"/>
        </w:rPr>
        <w:t xml:space="preserve"> form</w:t>
      </w:r>
      <w:r w:rsidR="006074D1" w:rsidRPr="002D7319">
        <w:rPr>
          <w:rFonts w:ascii="Arial" w:hAnsi="Arial" w:cs="Arial"/>
        </w:rPr>
        <w:t xml:space="preserve"> below</w:t>
      </w:r>
      <w:r w:rsidRPr="002D7319">
        <w:rPr>
          <w:rFonts w:ascii="Arial" w:hAnsi="Arial" w:cs="Arial"/>
        </w:rPr>
        <w:t xml:space="preserve">. </w:t>
      </w:r>
      <w:r w:rsidR="0060227F" w:rsidRPr="002D7319">
        <w:rPr>
          <w:rFonts w:ascii="Arial" w:hAnsi="Arial" w:cs="Arial"/>
        </w:rPr>
        <w:t>Please t</w:t>
      </w:r>
      <w:r w:rsidR="006074D1" w:rsidRPr="002D7319">
        <w:rPr>
          <w:rFonts w:ascii="Arial" w:hAnsi="Arial" w:cs="Arial"/>
        </w:rPr>
        <w:t>ype directly into the form and save</w:t>
      </w:r>
      <w:r w:rsidR="0060227F" w:rsidRPr="002D7319">
        <w:rPr>
          <w:rFonts w:ascii="Arial" w:hAnsi="Arial" w:cs="Arial"/>
        </w:rPr>
        <w:t xml:space="preserve"> </w:t>
      </w:r>
      <w:r w:rsidR="001F4E15">
        <w:rPr>
          <w:rFonts w:ascii="Arial" w:hAnsi="Arial" w:cs="Arial"/>
        </w:rPr>
        <w:t xml:space="preserve">it </w:t>
      </w:r>
      <w:r w:rsidR="0060227F" w:rsidRPr="002D7319">
        <w:rPr>
          <w:rFonts w:ascii="Arial" w:hAnsi="Arial" w:cs="Arial"/>
        </w:rPr>
        <w:t>with your initials (or other appropria</w:t>
      </w:r>
      <w:r w:rsidR="002455E5" w:rsidRPr="002D7319">
        <w:rPr>
          <w:rFonts w:ascii="Arial" w:hAnsi="Arial" w:cs="Arial"/>
        </w:rPr>
        <w:t xml:space="preserve">te identifier) before </w:t>
      </w:r>
      <w:r w:rsidR="001F4E15">
        <w:rPr>
          <w:rFonts w:ascii="Arial" w:hAnsi="Arial" w:cs="Arial"/>
        </w:rPr>
        <w:t>send</w:t>
      </w:r>
      <w:r w:rsidR="002455E5" w:rsidRPr="002D7319">
        <w:rPr>
          <w:rFonts w:ascii="Arial" w:hAnsi="Arial" w:cs="Arial"/>
        </w:rPr>
        <w:t xml:space="preserve">ing </w:t>
      </w:r>
      <w:r w:rsidR="001F4E15">
        <w:rPr>
          <w:rFonts w:ascii="Arial" w:hAnsi="Arial" w:cs="Arial"/>
        </w:rPr>
        <w:t xml:space="preserve">it </w:t>
      </w:r>
      <w:r w:rsidR="002455E5" w:rsidRPr="002D7319">
        <w:rPr>
          <w:rFonts w:ascii="Arial" w:hAnsi="Arial" w:cs="Arial"/>
        </w:rPr>
        <w:t xml:space="preserve">to </w:t>
      </w:r>
      <w:hyperlink r:id="rId6" w:history="1">
        <w:r w:rsidR="008B1EC4" w:rsidRPr="002D7319">
          <w:rPr>
            <w:rStyle w:val="Hyperlink"/>
            <w:rFonts w:ascii="Arial" w:hAnsi="Arial" w:cs="Arial"/>
          </w:rPr>
          <w:t>awttc@wales.nhs.uk</w:t>
        </w:r>
      </w:hyperlink>
      <w:r w:rsidR="00AB3D9A" w:rsidRPr="002D7319">
        <w:rPr>
          <w:rFonts w:ascii="Arial" w:hAnsi="Arial" w:cs="Arial"/>
        </w:rPr>
        <w:t>.</w:t>
      </w:r>
    </w:p>
    <w:p w14:paraId="00EFF3F2" w14:textId="77777777" w:rsidR="009E1AF2" w:rsidRPr="002D7319" w:rsidRDefault="009E1AF2" w:rsidP="003B1018">
      <w:pPr>
        <w:rPr>
          <w:rFonts w:ascii="Arial" w:hAnsi="Arial" w:cs="Arial"/>
        </w:rPr>
      </w:pPr>
    </w:p>
    <w:p w14:paraId="106E3C12" w14:textId="77777777" w:rsidR="009E1AF2" w:rsidRPr="002D7319" w:rsidRDefault="009E1AF2" w:rsidP="003B1018">
      <w:pPr>
        <w:rPr>
          <w:rFonts w:ascii="Arial" w:hAnsi="Arial" w:cs="Arial"/>
        </w:rPr>
      </w:pPr>
      <w:r w:rsidRPr="002D7319">
        <w:rPr>
          <w:rFonts w:ascii="Arial" w:hAnsi="Arial" w:cs="Arial"/>
          <w:b/>
        </w:rPr>
        <w:t>Please note:</w:t>
      </w:r>
      <w:r w:rsidRPr="002D7319">
        <w:rPr>
          <w:rFonts w:ascii="Arial" w:hAnsi="Arial" w:cs="Arial"/>
        </w:rPr>
        <w:t xml:space="preserve"> </w:t>
      </w:r>
      <w:r w:rsidR="00592BFD">
        <w:rPr>
          <w:rFonts w:ascii="Arial" w:hAnsi="Arial" w:cs="Arial"/>
        </w:rPr>
        <w:t xml:space="preserve">AWTTC </w:t>
      </w:r>
      <w:r w:rsidR="001F4E15">
        <w:rPr>
          <w:rFonts w:ascii="Arial" w:hAnsi="Arial" w:cs="Arial"/>
        </w:rPr>
        <w:t>compile all c</w:t>
      </w:r>
      <w:r w:rsidRPr="002D7319">
        <w:rPr>
          <w:rFonts w:ascii="Arial" w:hAnsi="Arial" w:cs="Arial"/>
        </w:rPr>
        <w:t>omments received during consultation in</w:t>
      </w:r>
      <w:r w:rsidR="001F4E15">
        <w:rPr>
          <w:rFonts w:ascii="Arial" w:hAnsi="Arial" w:cs="Arial"/>
        </w:rPr>
        <w:t>to</w:t>
      </w:r>
      <w:r w:rsidRPr="002D7319">
        <w:rPr>
          <w:rFonts w:ascii="Arial" w:hAnsi="Arial" w:cs="Arial"/>
        </w:rPr>
        <w:t xml:space="preserve"> a report </w:t>
      </w:r>
      <w:r w:rsidR="001F4E15">
        <w:rPr>
          <w:rFonts w:ascii="Arial" w:hAnsi="Arial" w:cs="Arial"/>
        </w:rPr>
        <w:t>to be</w:t>
      </w:r>
      <w:r w:rsidRPr="002D7319">
        <w:rPr>
          <w:rFonts w:ascii="Arial" w:hAnsi="Arial" w:cs="Arial"/>
        </w:rPr>
        <w:t xml:space="preserve"> considered by the development group. Each comment will be addressed and any changes to the document that are made as a result will be noted. </w:t>
      </w:r>
      <w:r w:rsidR="00DE6BCE">
        <w:rPr>
          <w:rFonts w:ascii="Arial" w:hAnsi="Arial" w:cs="Arial"/>
        </w:rPr>
        <w:t>A</w:t>
      </w:r>
      <w:r w:rsidRPr="002D7319">
        <w:rPr>
          <w:rFonts w:ascii="Arial" w:hAnsi="Arial" w:cs="Arial"/>
        </w:rPr>
        <w:t xml:space="preserve"> summary report</w:t>
      </w:r>
      <w:r w:rsidR="00DE6BCE">
        <w:rPr>
          <w:rFonts w:ascii="Arial" w:hAnsi="Arial" w:cs="Arial"/>
        </w:rPr>
        <w:t>,</w:t>
      </w:r>
      <w:r w:rsidRPr="002D7319">
        <w:rPr>
          <w:rFonts w:ascii="Arial" w:hAnsi="Arial" w:cs="Arial"/>
        </w:rPr>
        <w:t xml:space="preserve"> including any comments submitted</w:t>
      </w:r>
      <w:r w:rsidR="00DE6BCE">
        <w:rPr>
          <w:rFonts w:ascii="Arial" w:hAnsi="Arial" w:cs="Arial"/>
        </w:rPr>
        <w:t>,</w:t>
      </w:r>
      <w:r w:rsidRPr="002D7319">
        <w:rPr>
          <w:rFonts w:ascii="Arial" w:hAnsi="Arial" w:cs="Arial"/>
        </w:rPr>
        <w:t xml:space="preserve"> will be available</w:t>
      </w:r>
      <w:r w:rsidR="001B148C">
        <w:rPr>
          <w:rFonts w:ascii="Arial" w:hAnsi="Arial" w:cs="Arial"/>
        </w:rPr>
        <w:t xml:space="preserve"> </w:t>
      </w:r>
      <w:r w:rsidRPr="002D7319">
        <w:rPr>
          <w:rFonts w:ascii="Arial" w:hAnsi="Arial" w:cs="Arial"/>
        </w:rPr>
        <w:t>on request</w:t>
      </w:r>
      <w:r w:rsidR="00231330">
        <w:rPr>
          <w:rFonts w:ascii="Arial" w:hAnsi="Arial" w:cs="Arial"/>
        </w:rPr>
        <w:t xml:space="preserve"> within 3 weeks of </w:t>
      </w:r>
      <w:r w:rsidR="004E4591" w:rsidRPr="002D7319">
        <w:rPr>
          <w:rFonts w:ascii="Arial" w:hAnsi="Arial" w:cs="Arial"/>
        </w:rPr>
        <w:t>publication</w:t>
      </w:r>
      <w:r w:rsidR="00DE6BCE">
        <w:rPr>
          <w:rFonts w:ascii="Arial" w:hAnsi="Arial" w:cs="Arial"/>
        </w:rPr>
        <w:t xml:space="preserve"> of the </w:t>
      </w:r>
      <w:r w:rsidR="005E1B48">
        <w:rPr>
          <w:rFonts w:ascii="Arial" w:hAnsi="Arial" w:cs="Arial"/>
        </w:rPr>
        <w:t xml:space="preserve">finished </w:t>
      </w:r>
      <w:r w:rsidR="00DE6BCE">
        <w:rPr>
          <w:rFonts w:ascii="Arial" w:hAnsi="Arial" w:cs="Arial"/>
        </w:rPr>
        <w:t>document</w:t>
      </w:r>
      <w:r w:rsidR="004E4591" w:rsidRPr="002D7319">
        <w:rPr>
          <w:rFonts w:ascii="Arial" w:hAnsi="Arial" w:cs="Arial"/>
        </w:rPr>
        <w:t>.</w:t>
      </w:r>
    </w:p>
    <w:p w14:paraId="70033802" w14:textId="77777777" w:rsidR="009E1AF2" w:rsidRPr="002D7319" w:rsidRDefault="009E1AF2" w:rsidP="003B1018">
      <w:pPr>
        <w:rPr>
          <w:rFonts w:ascii="Arial" w:hAnsi="Arial" w:cs="Arial"/>
        </w:rPr>
      </w:pPr>
    </w:p>
    <w:p w14:paraId="46889648" w14:textId="77777777" w:rsidR="009E1AF2" w:rsidRPr="002D7319" w:rsidRDefault="009E1AF2" w:rsidP="003B1018">
      <w:pPr>
        <w:rPr>
          <w:rFonts w:ascii="Arial" w:hAnsi="Arial" w:cs="Arial"/>
        </w:rPr>
      </w:pPr>
      <w:r w:rsidRPr="002D7319">
        <w:rPr>
          <w:rFonts w:ascii="Arial" w:hAnsi="Arial" w:cs="Arial"/>
        </w:rPr>
        <w:t>AWTTC reserves the right to summarise comments, where it is deemed appropriate, and to not publish comments if we consider their publication to be unlawful or otherwise inappropriate.</w:t>
      </w:r>
    </w:p>
    <w:p w14:paraId="00FA1975" w14:textId="77777777" w:rsidR="009E1AF2" w:rsidRPr="002D7319" w:rsidRDefault="009E1AF2" w:rsidP="003B1018">
      <w:pPr>
        <w:rPr>
          <w:rFonts w:ascii="Arial" w:hAnsi="Arial" w:cs="Arial"/>
        </w:rPr>
      </w:pPr>
    </w:p>
    <w:p w14:paraId="15AF540E" w14:textId="77777777" w:rsidR="009E1AF2" w:rsidRPr="002D7319" w:rsidRDefault="009E1AF2" w:rsidP="003B1018">
      <w:pPr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t>By submitting your comments, you are agreeing to them being used in line with the above.</w:t>
      </w:r>
    </w:p>
    <w:p w14:paraId="0238598F" w14:textId="77777777" w:rsidR="00333C30" w:rsidRPr="002D7319" w:rsidRDefault="00333C30" w:rsidP="00A17C6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044"/>
        <w:gridCol w:w="6016"/>
      </w:tblGrid>
      <w:tr w:rsidR="00333C30" w:rsidRPr="002D7319" w14:paraId="31E57BEE" w14:textId="77777777" w:rsidTr="007C24CF">
        <w:trPr>
          <w:trHeight w:val="340"/>
        </w:trPr>
        <w:tc>
          <w:tcPr>
            <w:tcW w:w="168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71F7" w14:textId="77777777" w:rsidR="00333C30" w:rsidRPr="002D7319" w:rsidRDefault="00333C30" w:rsidP="00A17C67">
            <w:pPr>
              <w:rPr>
                <w:rFonts w:ascii="Arial" w:hAnsi="Arial" w:cs="Arial"/>
                <w:b/>
                <w:lang w:eastAsia="en-US"/>
              </w:rPr>
            </w:pPr>
            <w:r w:rsidRPr="002D7319">
              <w:rPr>
                <w:rFonts w:ascii="Arial" w:hAnsi="Arial" w:cs="Arial"/>
                <w:b/>
                <w:lang w:eastAsia="en-US"/>
              </w:rPr>
              <w:t>Name</w:t>
            </w:r>
          </w:p>
        </w:tc>
        <w:tc>
          <w:tcPr>
            <w:tcW w:w="33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FCF7" w14:textId="3B21AE82" w:rsidR="00A17C67" w:rsidRPr="002D7319" w:rsidRDefault="00B15442" w:rsidP="00A17C6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Alwyn Fortune</w:t>
            </w:r>
          </w:p>
        </w:tc>
      </w:tr>
      <w:tr w:rsidR="00333C30" w:rsidRPr="002D7319" w14:paraId="0D811D22" w14:textId="77777777" w:rsidTr="007C24CF">
        <w:trPr>
          <w:trHeight w:val="340"/>
        </w:trPr>
        <w:tc>
          <w:tcPr>
            <w:tcW w:w="168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1807" w14:textId="77777777" w:rsidR="00333C30" w:rsidRPr="002D7319" w:rsidRDefault="00A17C67" w:rsidP="00A17C67">
            <w:pPr>
              <w:rPr>
                <w:rFonts w:ascii="Arial" w:hAnsi="Arial" w:cs="Arial"/>
                <w:b/>
                <w:lang w:eastAsia="en-US"/>
              </w:rPr>
            </w:pPr>
            <w:r w:rsidRPr="002D7319">
              <w:rPr>
                <w:rFonts w:ascii="Arial" w:hAnsi="Arial" w:cs="Arial"/>
                <w:b/>
                <w:lang w:eastAsia="en-US"/>
              </w:rPr>
              <w:t>Organisation/Company</w:t>
            </w:r>
          </w:p>
        </w:tc>
        <w:tc>
          <w:tcPr>
            <w:tcW w:w="33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91B9" w14:textId="12DCB8C6" w:rsidR="00A17C67" w:rsidRPr="00157392" w:rsidRDefault="00AE76B2" w:rsidP="00A17C67">
            <w:pPr>
              <w:rPr>
                <w:rFonts w:ascii="Segoe UI" w:hAnsi="Segoe UI" w:cs="Segoe UI"/>
                <w:lang w:eastAsia="en-US"/>
              </w:rPr>
            </w:pPr>
            <w:r w:rsidRPr="00157392">
              <w:rPr>
                <w:rFonts w:ascii="Segoe UI" w:hAnsi="Segoe UI" w:cs="Segoe UI"/>
                <w:lang w:eastAsia="en-US"/>
              </w:rPr>
              <w:t>Royal Pharmaceutical Society</w:t>
            </w:r>
            <w:r w:rsidR="00C53BFC" w:rsidRPr="00157392">
              <w:rPr>
                <w:rFonts w:ascii="Segoe UI" w:hAnsi="Segoe UI" w:cs="Segoe UI"/>
                <w:lang w:eastAsia="en-US"/>
              </w:rPr>
              <w:t xml:space="preserve"> (RPS)</w:t>
            </w:r>
            <w:r w:rsidR="00B15442">
              <w:rPr>
                <w:rFonts w:ascii="Segoe UI" w:hAnsi="Segoe UI" w:cs="Segoe UI"/>
                <w:lang w:eastAsia="en-US"/>
              </w:rPr>
              <w:t>, Wales</w:t>
            </w:r>
          </w:p>
        </w:tc>
      </w:tr>
    </w:tbl>
    <w:p w14:paraId="2D475A4C" w14:textId="77777777" w:rsidR="006074D1" w:rsidRDefault="006074D1" w:rsidP="00A17C67">
      <w:pPr>
        <w:rPr>
          <w:rFonts w:ascii="Arial" w:hAnsi="Arial" w:cs="Arial"/>
          <w:lang w:eastAsia="en-US"/>
        </w:rPr>
      </w:pPr>
    </w:p>
    <w:p w14:paraId="255FF140" w14:textId="77777777" w:rsidR="00DE6BCE" w:rsidRPr="002D7319" w:rsidRDefault="00DE6BCE" w:rsidP="00A17C67">
      <w:pPr>
        <w:rPr>
          <w:rFonts w:ascii="Arial" w:hAnsi="Arial" w:cs="Arial"/>
          <w:lang w:eastAsia="en-US"/>
        </w:rPr>
      </w:pPr>
    </w:p>
    <w:p w14:paraId="6CB6DD58" w14:textId="77777777" w:rsidR="00A17C67" w:rsidRPr="002D7319" w:rsidRDefault="00DE6BCE" w:rsidP="00A17C67">
      <w:pPr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t xml:space="preserve">Consultation </w:t>
      </w:r>
      <w:r>
        <w:rPr>
          <w:rFonts w:ascii="Arial" w:hAnsi="Arial" w:cs="Arial"/>
          <w:b/>
        </w:rPr>
        <w:t>comments</w:t>
      </w:r>
    </w:p>
    <w:p w14:paraId="3E56628B" w14:textId="77777777" w:rsidR="002C2EFE" w:rsidRPr="002D7319" w:rsidRDefault="002C2EFE" w:rsidP="00A17C67">
      <w:pPr>
        <w:rPr>
          <w:rFonts w:ascii="Arial" w:hAnsi="Arial" w:cs="Arial"/>
          <w:b/>
          <w:lang w:eastAsia="en-US"/>
        </w:rPr>
      </w:pPr>
    </w:p>
    <w:p w14:paraId="130F45CA" w14:textId="77777777" w:rsidR="002C2EFE" w:rsidRPr="00DE6BCE" w:rsidRDefault="002C2EFE" w:rsidP="002C2EFE">
      <w:pPr>
        <w:spacing w:after="240"/>
        <w:rPr>
          <w:rFonts w:ascii="Arial" w:hAnsi="Arial" w:cs="Arial"/>
          <w:lang w:eastAsia="en-US"/>
        </w:rPr>
      </w:pPr>
      <w:bookmarkStart w:id="0" w:name="_Hlk105486759"/>
      <w:r w:rsidRPr="00DE6BCE">
        <w:rPr>
          <w:rFonts w:ascii="Arial" w:hAnsi="Arial" w:cs="Arial"/>
          <w:lang w:eastAsia="en-US"/>
        </w:rPr>
        <w:t xml:space="preserve">Is there anything you would like to see </w:t>
      </w:r>
      <w:r w:rsidRPr="00DE6BCE">
        <w:rPr>
          <w:rFonts w:ascii="Arial" w:hAnsi="Arial" w:cs="Arial"/>
          <w:b/>
          <w:lang w:eastAsia="en-US"/>
        </w:rPr>
        <w:t>added</w:t>
      </w:r>
      <w:r w:rsidRPr="00DE6BCE">
        <w:rPr>
          <w:rFonts w:ascii="Arial" w:hAnsi="Arial" w:cs="Arial"/>
          <w:lang w:eastAsia="en-US"/>
        </w:rPr>
        <w:t xml:space="preserve"> to the </w:t>
      </w:r>
      <w:r w:rsidR="00C3206C" w:rsidRPr="00C3206C">
        <w:rPr>
          <w:rFonts w:ascii="Arial" w:hAnsi="Arial" w:cs="Arial"/>
          <w:i/>
          <w:lang w:eastAsia="en-US"/>
        </w:rPr>
        <w:t>Common Ailments Service formulary – Monograph for urinary tract infection in women</w:t>
      </w:r>
      <w:r w:rsidRPr="00DE6BCE">
        <w:rPr>
          <w:rFonts w:ascii="Arial" w:hAnsi="Arial" w:cs="Arial"/>
          <w:i/>
          <w:lang w:eastAsia="en-US"/>
        </w:rPr>
        <w:t xml:space="preserve"> </w:t>
      </w:r>
      <w:r w:rsidRPr="00DE6BCE">
        <w:rPr>
          <w:rFonts w:ascii="Arial" w:hAnsi="Arial" w:cs="Arial"/>
          <w:lang w:eastAsia="en-US"/>
        </w:rPr>
        <w:t>document?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2C2EFE" w:rsidRPr="002D7319" w14:paraId="233F4D63" w14:textId="77777777" w:rsidTr="00C133B3"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F52150" w14:textId="77777777" w:rsidR="002C2EFE" w:rsidRPr="00157392" w:rsidRDefault="00C53BFC" w:rsidP="000C0CD2">
            <w:pPr>
              <w:rPr>
                <w:rFonts w:ascii="Segoe UI" w:hAnsi="Segoe UI" w:cs="Segoe UI"/>
                <w:bCs/>
                <w:lang w:eastAsia="en-US"/>
              </w:rPr>
            </w:pPr>
            <w:r w:rsidRPr="00157392">
              <w:rPr>
                <w:rFonts w:ascii="Segoe UI" w:hAnsi="Segoe UI" w:cs="Segoe UI"/>
                <w:bCs/>
                <w:lang w:eastAsia="en-US"/>
              </w:rPr>
              <w:t>There is nothing of note that we would like added to the monograph for urinary tract infections in women.</w:t>
            </w:r>
          </w:p>
          <w:p w14:paraId="160BC61E" w14:textId="77777777" w:rsidR="00C53BFC" w:rsidRPr="00157392" w:rsidRDefault="00C53BFC" w:rsidP="000C0CD2">
            <w:pPr>
              <w:rPr>
                <w:rFonts w:ascii="Segoe UI" w:hAnsi="Segoe UI" w:cs="Segoe UI"/>
                <w:bCs/>
                <w:lang w:eastAsia="en-US"/>
              </w:rPr>
            </w:pPr>
          </w:p>
          <w:p w14:paraId="5CBC2E62" w14:textId="77777777" w:rsidR="00C53BFC" w:rsidRPr="00157392" w:rsidRDefault="00C53BFC" w:rsidP="000C0CD2">
            <w:pPr>
              <w:rPr>
                <w:rFonts w:ascii="Segoe UI" w:hAnsi="Segoe UI" w:cs="Segoe UI"/>
                <w:bCs/>
                <w:lang w:eastAsia="en-US"/>
              </w:rPr>
            </w:pPr>
            <w:r w:rsidRPr="00157392">
              <w:rPr>
                <w:rFonts w:ascii="Segoe UI" w:hAnsi="Segoe UI" w:cs="Segoe UI"/>
                <w:bCs/>
                <w:lang w:eastAsia="en-US"/>
              </w:rPr>
              <w:t>The RPS is very supportive of this addition to the Common Ailments Service, enabling widening patient access to treatment for urinary tract infections in women in a timely manner, fully utilising the clinical skills of pharmacists for patient benefit.</w:t>
            </w:r>
          </w:p>
          <w:p w14:paraId="3A4C5C5D" w14:textId="77777777" w:rsidR="00C53BFC" w:rsidRPr="00157392" w:rsidRDefault="00C53BFC" w:rsidP="000C0CD2">
            <w:pPr>
              <w:rPr>
                <w:rFonts w:ascii="Segoe UI" w:hAnsi="Segoe UI" w:cs="Segoe UI"/>
                <w:bCs/>
                <w:lang w:eastAsia="en-US"/>
              </w:rPr>
            </w:pPr>
            <w:r w:rsidRPr="00157392">
              <w:rPr>
                <w:rFonts w:ascii="Segoe UI" w:hAnsi="Segoe UI" w:cs="Segoe UI"/>
                <w:bCs/>
                <w:lang w:eastAsia="en-US"/>
              </w:rPr>
              <w:t>Community pharmacists consistently demonstrate the value they add to patient care at a local level, with timely access to the common ailments service available across Wales.</w:t>
            </w:r>
          </w:p>
          <w:p w14:paraId="1E8031CE" w14:textId="77777777" w:rsidR="00C53BFC" w:rsidRPr="00157392" w:rsidRDefault="00C53BFC" w:rsidP="000C0CD2">
            <w:pPr>
              <w:rPr>
                <w:rFonts w:ascii="Segoe UI" w:hAnsi="Segoe UI" w:cs="Segoe UI"/>
                <w:bCs/>
                <w:lang w:eastAsia="en-US"/>
              </w:rPr>
            </w:pPr>
            <w:r w:rsidRPr="00157392">
              <w:rPr>
                <w:rFonts w:ascii="Segoe UI" w:hAnsi="Segoe UI" w:cs="Segoe UI"/>
                <w:bCs/>
                <w:lang w:eastAsia="en-US"/>
              </w:rPr>
              <w:t xml:space="preserve">We note that antibiotic therapy is available, where appropriate for the patient, as part of the service. Pharmacists have already demonstrated </w:t>
            </w:r>
            <w:r w:rsidR="005405EC" w:rsidRPr="00157392">
              <w:rPr>
                <w:rFonts w:ascii="Segoe UI" w:hAnsi="Segoe UI" w:cs="Segoe UI"/>
                <w:bCs/>
                <w:lang w:eastAsia="en-US"/>
              </w:rPr>
              <w:t xml:space="preserve">positive downward trends in antibiotic prescribing for patients as part of the </w:t>
            </w:r>
            <w:r w:rsidR="004953DE" w:rsidRPr="00157392">
              <w:rPr>
                <w:rFonts w:ascii="Segoe UI" w:hAnsi="Segoe UI" w:cs="Segoe UI"/>
                <w:bCs/>
                <w:lang w:eastAsia="en-US"/>
              </w:rPr>
              <w:t>‘</w:t>
            </w:r>
            <w:r w:rsidR="005405EC" w:rsidRPr="00157392">
              <w:rPr>
                <w:rFonts w:ascii="Segoe UI" w:hAnsi="Segoe UI" w:cs="Segoe UI"/>
                <w:bCs/>
                <w:lang w:eastAsia="en-US"/>
              </w:rPr>
              <w:t>Sore Throat Test and Treat</w:t>
            </w:r>
            <w:r w:rsidR="004953DE" w:rsidRPr="00157392">
              <w:rPr>
                <w:rFonts w:ascii="Segoe UI" w:hAnsi="Segoe UI" w:cs="Segoe UI"/>
                <w:bCs/>
                <w:lang w:eastAsia="en-US"/>
              </w:rPr>
              <w:t>’</w:t>
            </w:r>
            <w:r w:rsidR="005405EC" w:rsidRPr="00157392">
              <w:rPr>
                <w:rFonts w:ascii="Segoe UI" w:hAnsi="Segoe UI" w:cs="Segoe UI"/>
                <w:bCs/>
                <w:lang w:eastAsia="en-US"/>
              </w:rPr>
              <w:t xml:space="preserve"> </w:t>
            </w:r>
            <w:r w:rsidR="004953DE" w:rsidRPr="00157392">
              <w:rPr>
                <w:rFonts w:ascii="Segoe UI" w:hAnsi="Segoe UI" w:cs="Segoe UI"/>
                <w:bCs/>
                <w:lang w:eastAsia="en-US"/>
              </w:rPr>
              <w:t>service, undertaking mandatory antibiotic stewardship training as part of the requirements to deliver this service. (</w:t>
            </w:r>
            <w:hyperlink r:id="rId7" w:anchor=":~:text=The%20availability%20of%20STTT%20was,of%20the%20antibiotic%20were%20similar" w:history="1">
              <w:r w:rsidR="004953DE" w:rsidRPr="00157392">
                <w:rPr>
                  <w:rStyle w:val="Hyperlink"/>
                  <w:rFonts w:ascii="Segoe UI" w:hAnsi="Segoe UI" w:cs="Segoe UI"/>
                  <w:bCs/>
                  <w:lang w:eastAsia="en-US"/>
                </w:rPr>
                <w:t>https://www.ncbi.nlm.nih.gov/pmc/articles/PMC7047494/#:~:text=The%20availability%20of%20STTT%20was,of%20the%20antibiotic%20were%20similar</w:t>
              </w:r>
            </w:hyperlink>
            <w:r w:rsidR="004953DE" w:rsidRPr="00157392">
              <w:rPr>
                <w:rFonts w:ascii="Segoe UI" w:hAnsi="Segoe UI" w:cs="Segoe UI"/>
                <w:bCs/>
                <w:lang w:eastAsia="en-US"/>
              </w:rPr>
              <w:t xml:space="preserve">.) </w:t>
            </w:r>
          </w:p>
          <w:p w14:paraId="37037365" w14:textId="77777777" w:rsidR="002C2EFE" w:rsidRPr="00157392" w:rsidRDefault="004953DE" w:rsidP="000C0CD2">
            <w:pPr>
              <w:rPr>
                <w:rFonts w:ascii="Segoe UI" w:hAnsi="Segoe UI" w:cs="Segoe UI"/>
                <w:bCs/>
                <w:lang w:eastAsia="en-US"/>
              </w:rPr>
            </w:pPr>
            <w:r w:rsidRPr="00157392">
              <w:rPr>
                <w:rFonts w:ascii="Segoe UI" w:hAnsi="Segoe UI" w:cs="Segoe UI"/>
                <w:bCs/>
                <w:lang w:eastAsia="en-US"/>
              </w:rPr>
              <w:lastRenderedPageBreak/>
              <w:t>The formulary is a strictly protocol-driven scheme, which will ensure appropriate antimicrobial use and aid decision making.</w:t>
            </w:r>
          </w:p>
          <w:p w14:paraId="1A6EAF14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E888E81" w14:textId="77777777" w:rsidR="002C2EFE" w:rsidRPr="002D7319" w:rsidRDefault="002C2EFE" w:rsidP="002C2EFE">
      <w:pPr>
        <w:rPr>
          <w:rFonts w:ascii="Arial" w:hAnsi="Arial" w:cs="Arial"/>
          <w:b/>
          <w:lang w:eastAsia="en-US"/>
        </w:rPr>
      </w:pPr>
    </w:p>
    <w:p w14:paraId="67CFC5E6" w14:textId="77777777" w:rsidR="002C2EFE" w:rsidRPr="00DE6BCE" w:rsidRDefault="002C2EFE" w:rsidP="002C2EFE">
      <w:pPr>
        <w:spacing w:after="240"/>
        <w:rPr>
          <w:rFonts w:ascii="Arial" w:hAnsi="Arial" w:cs="Arial"/>
          <w:lang w:eastAsia="en-US"/>
        </w:rPr>
      </w:pPr>
      <w:r w:rsidRPr="00DE6BCE">
        <w:rPr>
          <w:rFonts w:ascii="Arial" w:hAnsi="Arial" w:cs="Arial"/>
          <w:lang w:eastAsia="en-US"/>
        </w:rPr>
        <w:t xml:space="preserve">Is there anything you would like to see </w:t>
      </w:r>
      <w:r w:rsidRPr="00DE6BCE">
        <w:rPr>
          <w:rFonts w:ascii="Arial" w:hAnsi="Arial" w:cs="Arial"/>
          <w:b/>
          <w:lang w:eastAsia="en-US"/>
        </w:rPr>
        <w:t>removed</w:t>
      </w:r>
      <w:r w:rsidRPr="00DE6BCE">
        <w:rPr>
          <w:rFonts w:ascii="Arial" w:hAnsi="Arial" w:cs="Arial"/>
          <w:lang w:eastAsia="en-US"/>
        </w:rPr>
        <w:t xml:space="preserve"> from the </w:t>
      </w:r>
      <w:r w:rsidR="00C3206C" w:rsidRPr="00C3206C">
        <w:rPr>
          <w:rFonts w:ascii="Arial" w:hAnsi="Arial" w:cs="Arial"/>
          <w:i/>
          <w:lang w:eastAsia="en-US"/>
        </w:rPr>
        <w:t>Common Ailments Service formulary – Monograph for urinary tract infection in women</w:t>
      </w:r>
      <w:r w:rsidR="00C3206C" w:rsidRPr="00DE6BCE">
        <w:rPr>
          <w:rFonts w:ascii="Arial" w:hAnsi="Arial" w:cs="Arial"/>
          <w:lang w:eastAsia="en-US"/>
        </w:rPr>
        <w:t xml:space="preserve"> </w:t>
      </w:r>
      <w:r w:rsidRPr="00DE6BCE">
        <w:rPr>
          <w:rFonts w:ascii="Arial" w:hAnsi="Arial" w:cs="Arial"/>
          <w:lang w:eastAsia="en-US"/>
        </w:rPr>
        <w:t>document?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2C2EFE" w:rsidRPr="002D7319" w14:paraId="33A5C78E" w14:textId="77777777" w:rsidTr="00C133B3"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E7FCFF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  <w:p w14:paraId="66E18073" w14:textId="77777777" w:rsidR="002C2EFE" w:rsidRPr="00157392" w:rsidRDefault="00C53BFC" w:rsidP="000C0CD2">
            <w:pPr>
              <w:rPr>
                <w:rFonts w:ascii="Segoe UI" w:hAnsi="Segoe UI" w:cs="Segoe UI"/>
                <w:bCs/>
                <w:lang w:eastAsia="en-US"/>
              </w:rPr>
            </w:pPr>
            <w:r w:rsidRPr="00157392">
              <w:rPr>
                <w:rFonts w:ascii="Segoe UI" w:hAnsi="Segoe UI" w:cs="Segoe UI"/>
                <w:bCs/>
                <w:lang w:eastAsia="en-US"/>
              </w:rPr>
              <w:t>N/A</w:t>
            </w:r>
          </w:p>
          <w:p w14:paraId="7409B65B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9E56E38" w14:textId="77777777" w:rsidR="002C2EFE" w:rsidRPr="002D7319" w:rsidRDefault="002C2EFE" w:rsidP="002C2EFE">
      <w:pPr>
        <w:rPr>
          <w:rFonts w:ascii="Arial" w:hAnsi="Arial" w:cs="Arial"/>
          <w:b/>
          <w:lang w:eastAsia="en-US"/>
        </w:rPr>
      </w:pPr>
    </w:p>
    <w:p w14:paraId="71C2602A" w14:textId="77777777" w:rsidR="002C2EFE" w:rsidRPr="002D7319" w:rsidRDefault="00DE6BCE" w:rsidP="002C2EFE">
      <w:pPr>
        <w:rPr>
          <w:rFonts w:ascii="Arial" w:hAnsi="Arial" w:cs="Arial"/>
          <w:b/>
          <w:lang w:eastAsia="en-US"/>
        </w:rPr>
      </w:pPr>
      <w:bookmarkStart w:id="1" w:name="_Hlk105486785"/>
      <w:r>
        <w:rPr>
          <w:rFonts w:ascii="Arial" w:hAnsi="Arial" w:cs="Arial"/>
          <w:b/>
          <w:lang w:eastAsia="en-US"/>
        </w:rPr>
        <w:t>Please submit a</w:t>
      </w:r>
      <w:r w:rsidR="002C2EFE" w:rsidRPr="002D7319">
        <w:rPr>
          <w:rFonts w:ascii="Arial" w:hAnsi="Arial" w:cs="Arial"/>
          <w:b/>
          <w:lang w:eastAsia="en-US"/>
        </w:rPr>
        <w:t>ny further comments using the table below.</w:t>
      </w:r>
      <w:bookmarkEnd w:id="1"/>
    </w:p>
    <w:p w14:paraId="48F014FB" w14:textId="77777777" w:rsidR="006074D1" w:rsidRPr="002D7319" w:rsidRDefault="006074D1" w:rsidP="00A17C67">
      <w:pPr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180"/>
        <w:gridCol w:w="6880"/>
      </w:tblGrid>
      <w:tr w:rsidR="00A17C67" w:rsidRPr="002D7319" w14:paraId="4FECB1F7" w14:textId="77777777" w:rsidTr="00B158F7">
        <w:trPr>
          <w:trHeight w:val="527"/>
          <w:tblHeader/>
        </w:trPr>
        <w:tc>
          <w:tcPr>
            <w:tcW w:w="1203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C66A" w14:textId="77777777" w:rsidR="00A17C67" w:rsidRPr="002D7319" w:rsidRDefault="00A17C67" w:rsidP="00DE6BCE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2D7319">
              <w:rPr>
                <w:rFonts w:ascii="Arial" w:hAnsi="Arial" w:cs="Arial"/>
                <w:b/>
                <w:bCs/>
                <w:lang w:eastAsia="en-US"/>
              </w:rPr>
              <w:t>Page</w:t>
            </w:r>
            <w:r w:rsidR="009510C3" w:rsidRPr="002D7319">
              <w:rPr>
                <w:rFonts w:ascii="Arial" w:hAnsi="Arial" w:cs="Arial"/>
                <w:b/>
                <w:bCs/>
                <w:lang w:eastAsia="en-US"/>
              </w:rPr>
              <w:t xml:space="preserve"> number</w:t>
            </w:r>
            <w:r w:rsidR="008B3CD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2D7319">
              <w:rPr>
                <w:rFonts w:ascii="Arial" w:hAnsi="Arial" w:cs="Arial"/>
                <w:b/>
                <w:bCs/>
                <w:lang w:eastAsia="en-US"/>
              </w:rPr>
              <w:t>/section</w:t>
            </w:r>
            <w:r w:rsidR="008B3CD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2D7319">
              <w:rPr>
                <w:rFonts w:ascii="Arial" w:hAnsi="Arial" w:cs="Arial"/>
                <w:b/>
                <w:bCs/>
                <w:lang w:eastAsia="en-US"/>
              </w:rPr>
              <w:t>number</w:t>
            </w:r>
            <w:r w:rsidR="00534D72" w:rsidRPr="002D7319">
              <w:rPr>
                <w:rFonts w:ascii="Arial" w:hAnsi="Arial" w:cs="Arial"/>
                <w:b/>
                <w:bCs/>
                <w:lang w:eastAsia="en-US"/>
              </w:rPr>
              <w:t>/</w:t>
            </w:r>
            <w:r w:rsidR="00534D72" w:rsidRPr="002D7319">
              <w:rPr>
                <w:rFonts w:ascii="Arial" w:hAnsi="Arial" w:cs="Arial"/>
                <w:b/>
                <w:bCs/>
                <w:lang w:eastAsia="en-US"/>
              </w:rPr>
              <w:br/>
              <w:t>line number</w:t>
            </w:r>
          </w:p>
        </w:tc>
        <w:tc>
          <w:tcPr>
            <w:tcW w:w="3797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9331" w14:textId="77777777" w:rsidR="00A17C67" w:rsidRPr="002D7319" w:rsidRDefault="00A17C67" w:rsidP="00DE6BCE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2D7319">
              <w:rPr>
                <w:rFonts w:ascii="Arial" w:hAnsi="Arial" w:cs="Arial"/>
                <w:b/>
                <w:bCs/>
                <w:lang w:eastAsia="en-US"/>
              </w:rPr>
              <w:t>Comment</w:t>
            </w:r>
          </w:p>
        </w:tc>
      </w:tr>
      <w:tr w:rsidR="00A17C67" w:rsidRPr="002D7319" w14:paraId="1C9DC274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319D" w14:textId="77777777" w:rsidR="00A17C67" w:rsidRPr="00157392" w:rsidRDefault="00021859" w:rsidP="007C24CF">
            <w:pPr>
              <w:rPr>
                <w:rFonts w:ascii="Segoe UI" w:hAnsi="Segoe UI" w:cs="Segoe UI"/>
                <w:lang w:eastAsia="en-US"/>
              </w:rPr>
            </w:pPr>
            <w:r w:rsidRPr="00157392">
              <w:rPr>
                <w:rFonts w:ascii="Segoe UI" w:hAnsi="Segoe UI" w:cs="Segoe UI"/>
                <w:lang w:eastAsia="en-US"/>
              </w:rPr>
              <w:t>76</w:t>
            </w: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288D" w14:textId="77777777" w:rsidR="00021859" w:rsidRDefault="00021859" w:rsidP="007C24CF">
            <w:pPr>
              <w:rPr>
                <w:i/>
                <w:iCs/>
              </w:rPr>
            </w:pPr>
            <w:r>
              <w:rPr>
                <w:i/>
                <w:iCs/>
              </w:rPr>
              <w:t>‘’</w:t>
            </w:r>
            <w:r w:rsidRPr="00021859">
              <w:rPr>
                <w:i/>
                <w:iCs/>
              </w:rPr>
              <w:t>recent travel to a country with increased antimicrobial resistance (outside northern Europe and Australasia)</w:t>
            </w:r>
            <w:r>
              <w:rPr>
                <w:i/>
                <w:iCs/>
              </w:rPr>
              <w:t>’’</w:t>
            </w:r>
          </w:p>
          <w:p w14:paraId="0540A53C" w14:textId="77777777" w:rsidR="00021859" w:rsidRPr="00157392" w:rsidRDefault="00021859" w:rsidP="007C24CF">
            <w:pPr>
              <w:rPr>
                <w:rFonts w:ascii="Segoe UI" w:hAnsi="Segoe UI" w:cs="Segoe UI"/>
                <w:i/>
                <w:iCs/>
                <w:lang w:eastAsia="en-US"/>
              </w:rPr>
            </w:pPr>
          </w:p>
          <w:p w14:paraId="1C0F9397" w14:textId="77777777" w:rsidR="00A17C67" w:rsidRPr="002D7319" w:rsidRDefault="00021859" w:rsidP="007C24CF">
            <w:pPr>
              <w:rPr>
                <w:rFonts w:ascii="Arial" w:hAnsi="Arial" w:cs="Arial"/>
                <w:lang w:eastAsia="en-US"/>
              </w:rPr>
            </w:pPr>
            <w:r w:rsidRPr="00157392">
              <w:rPr>
                <w:rFonts w:ascii="Segoe UI" w:hAnsi="Segoe UI" w:cs="Segoe UI"/>
                <w:lang w:eastAsia="en-US"/>
              </w:rPr>
              <w:t>The above may potentially need further strengthening in terms of listing countries, to ensure this is defined consistently in practice and there is no ambiguity in decision making.</w:t>
            </w:r>
          </w:p>
        </w:tc>
      </w:tr>
      <w:tr w:rsidR="00A17C67" w:rsidRPr="002D7319" w14:paraId="3BFD0F86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99143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AF3A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5B4BB24B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5E25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A2CE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07E7E071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D206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DD6F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784DEBA8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15DB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6559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7CA29D96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948D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BD43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77683D8E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7337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B1DD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4D7ED0B1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5B5B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AC1E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1518EF52" w14:textId="77777777" w:rsidR="006074D1" w:rsidRPr="002D7319" w:rsidRDefault="006074D1">
      <w:pPr>
        <w:rPr>
          <w:rFonts w:ascii="Arial" w:hAnsi="Arial" w:cs="Arial"/>
          <w:b/>
        </w:rPr>
      </w:pPr>
    </w:p>
    <w:p w14:paraId="78A1C82B" w14:textId="77777777" w:rsidR="002C2EFE" w:rsidRPr="002D7319" w:rsidRDefault="002C2EFE">
      <w:pPr>
        <w:rPr>
          <w:rFonts w:ascii="Arial" w:hAnsi="Arial" w:cs="Arial"/>
          <w:b/>
        </w:rPr>
      </w:pPr>
    </w:p>
    <w:p w14:paraId="71892057" w14:textId="77777777" w:rsidR="006074D1" w:rsidRPr="002D7319" w:rsidRDefault="008B3CD5" w:rsidP="006074D1">
      <w:pPr>
        <w:tabs>
          <w:tab w:val="left" w:pos="2694"/>
        </w:tabs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t>Declaration of interests</w:t>
      </w:r>
    </w:p>
    <w:p w14:paraId="34AA9A39" w14:textId="77777777" w:rsidR="006074D1" w:rsidRPr="002D7319" w:rsidRDefault="006074D1" w:rsidP="006074D1">
      <w:pPr>
        <w:rPr>
          <w:rFonts w:ascii="Arial" w:hAnsi="Arial" w:cs="Arial"/>
          <w:b/>
        </w:rPr>
      </w:pPr>
    </w:p>
    <w:p w14:paraId="0FEB56D9" w14:textId="77777777" w:rsidR="006074D1" w:rsidRPr="002D7319" w:rsidRDefault="006074D1" w:rsidP="003B1018">
      <w:pPr>
        <w:pStyle w:val="BodyText"/>
        <w:ind w:right="26"/>
        <w:rPr>
          <w:rFonts w:cs="Arial"/>
          <w:szCs w:val="24"/>
        </w:rPr>
      </w:pPr>
      <w:r w:rsidRPr="002D7319">
        <w:rPr>
          <w:rFonts w:cs="Arial"/>
          <w:szCs w:val="24"/>
        </w:rPr>
        <w:t>Do you have any business or personal interests that might be material and relevant to the project</w:t>
      </w:r>
      <w:r w:rsidR="008B3CD5">
        <w:rPr>
          <w:rFonts w:cs="Arial"/>
          <w:szCs w:val="24"/>
        </w:rPr>
        <w:t xml:space="preserve"> or </w:t>
      </w:r>
      <w:r w:rsidRPr="002D7319">
        <w:rPr>
          <w:rFonts w:cs="Arial"/>
          <w:szCs w:val="24"/>
        </w:rPr>
        <w:t>document under consideration?</w:t>
      </w:r>
    </w:p>
    <w:p w14:paraId="526F8A03" w14:textId="77777777" w:rsidR="006074D1" w:rsidRPr="002D7319" w:rsidRDefault="006074D1" w:rsidP="006074D1">
      <w:pPr>
        <w:pStyle w:val="BodyText"/>
        <w:ind w:right="26"/>
        <w:rPr>
          <w:rFonts w:cs="Arial"/>
          <w:szCs w:val="24"/>
        </w:rPr>
      </w:pPr>
    </w:p>
    <w:tbl>
      <w:tblPr>
        <w:tblW w:w="1094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7"/>
        <w:gridCol w:w="935"/>
      </w:tblGrid>
      <w:tr w:rsidR="006074D1" w:rsidRPr="002D7319" w14:paraId="214BA879" w14:textId="77777777" w:rsidTr="007C24CF">
        <w:tc>
          <w:tcPr>
            <w:tcW w:w="2642" w:type="pct"/>
            <w:shd w:val="clear" w:color="auto" w:fill="E0E0E0"/>
            <w:vAlign w:val="center"/>
          </w:tcPr>
          <w:p w14:paraId="1C0E845C" w14:textId="77777777" w:rsidR="006074D1" w:rsidRPr="002D7319" w:rsidRDefault="006074D1" w:rsidP="006074D1">
            <w:pPr>
              <w:pStyle w:val="BodyText"/>
              <w:ind w:right="26"/>
              <w:rPr>
                <w:rFonts w:cs="Arial"/>
                <w:b/>
                <w:szCs w:val="24"/>
              </w:rPr>
            </w:pPr>
            <w:r w:rsidRPr="002D7319">
              <w:rPr>
                <w:rFonts w:cs="Arial"/>
                <w:b/>
                <w:szCs w:val="24"/>
              </w:rPr>
              <w:t>Yes</w:t>
            </w:r>
          </w:p>
        </w:tc>
        <w:tc>
          <w:tcPr>
            <w:tcW w:w="2358" w:type="pct"/>
            <w:vAlign w:val="center"/>
          </w:tcPr>
          <w:p w14:paraId="73F88D25" w14:textId="77777777" w:rsidR="006074D1" w:rsidRPr="002D7319" w:rsidRDefault="006074D1" w:rsidP="006074D1">
            <w:pPr>
              <w:pStyle w:val="BodyText"/>
              <w:ind w:right="26"/>
              <w:rPr>
                <w:rFonts w:cs="Arial"/>
                <w:szCs w:val="24"/>
              </w:rPr>
            </w:pPr>
          </w:p>
        </w:tc>
      </w:tr>
      <w:tr w:rsidR="006074D1" w:rsidRPr="002D7319" w14:paraId="147898A0" w14:textId="77777777" w:rsidTr="007C24CF">
        <w:tc>
          <w:tcPr>
            <w:tcW w:w="2642" w:type="pct"/>
            <w:shd w:val="clear" w:color="auto" w:fill="E0E0E0"/>
            <w:vAlign w:val="center"/>
          </w:tcPr>
          <w:p w14:paraId="6E8AF050" w14:textId="77777777" w:rsidR="006074D1" w:rsidRPr="002D7319" w:rsidRDefault="006074D1" w:rsidP="006074D1">
            <w:pPr>
              <w:pStyle w:val="BodyText"/>
              <w:ind w:right="26"/>
              <w:rPr>
                <w:rFonts w:cs="Arial"/>
                <w:b/>
                <w:szCs w:val="24"/>
              </w:rPr>
            </w:pPr>
            <w:r w:rsidRPr="002D7319">
              <w:rPr>
                <w:rFonts w:cs="Arial"/>
                <w:b/>
                <w:szCs w:val="24"/>
              </w:rPr>
              <w:t>No</w:t>
            </w:r>
          </w:p>
        </w:tc>
        <w:tc>
          <w:tcPr>
            <w:tcW w:w="2358" w:type="pct"/>
            <w:vAlign w:val="center"/>
          </w:tcPr>
          <w:p w14:paraId="63321C67" w14:textId="77777777" w:rsidR="006074D1" w:rsidRPr="002D7319" w:rsidRDefault="00021859" w:rsidP="006074D1">
            <w:pPr>
              <w:pStyle w:val="BodyText"/>
              <w:ind w:right="2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sym w:font="Wingdings" w:char="F0FC"/>
            </w:r>
          </w:p>
        </w:tc>
      </w:tr>
    </w:tbl>
    <w:p w14:paraId="7183F99B" w14:textId="77777777" w:rsidR="006074D1" w:rsidRPr="002D7319" w:rsidRDefault="006074D1" w:rsidP="006074D1">
      <w:pPr>
        <w:pStyle w:val="BodyText"/>
        <w:ind w:right="26"/>
        <w:rPr>
          <w:rFonts w:cs="Arial"/>
          <w:szCs w:val="24"/>
        </w:rPr>
      </w:pPr>
    </w:p>
    <w:p w14:paraId="6F0B9416" w14:textId="77777777" w:rsidR="006074D1" w:rsidRPr="002D7319" w:rsidRDefault="006074D1" w:rsidP="006074D1">
      <w:pPr>
        <w:pStyle w:val="BodyText"/>
        <w:ind w:right="26"/>
        <w:rPr>
          <w:rFonts w:cs="Arial"/>
          <w:szCs w:val="24"/>
        </w:rPr>
      </w:pPr>
      <w:r w:rsidRPr="002D7319">
        <w:rPr>
          <w:rFonts w:cs="Arial"/>
          <w:szCs w:val="24"/>
        </w:rPr>
        <w:t xml:space="preserve">If </w:t>
      </w:r>
      <w:r w:rsidRPr="002D7319">
        <w:rPr>
          <w:rFonts w:cs="Arial"/>
          <w:b/>
          <w:szCs w:val="24"/>
        </w:rPr>
        <w:t>yes</w:t>
      </w:r>
      <w:r w:rsidRPr="002D7319">
        <w:rPr>
          <w:rFonts w:cs="Arial"/>
          <w:szCs w:val="24"/>
        </w:rPr>
        <w:t>, please give details below:</w:t>
      </w:r>
    </w:p>
    <w:p w14:paraId="2A3CF5AC" w14:textId="77777777" w:rsidR="006074D1" w:rsidRPr="002D7319" w:rsidRDefault="006074D1" w:rsidP="006074D1">
      <w:pPr>
        <w:pStyle w:val="BodyText"/>
        <w:ind w:right="26"/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074D1" w:rsidRPr="002D7319" w14:paraId="26ADA0B6" w14:textId="77777777" w:rsidTr="00C133B3">
        <w:trPr>
          <w:trHeight w:val="1134"/>
        </w:trPr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A98DB0" w14:textId="77777777" w:rsidR="006074D1" w:rsidRPr="002D7319" w:rsidRDefault="006074D1" w:rsidP="006074D1">
            <w:pPr>
              <w:pStyle w:val="BodyText"/>
              <w:ind w:right="26"/>
              <w:rPr>
                <w:rFonts w:cs="Arial"/>
                <w:szCs w:val="24"/>
              </w:rPr>
            </w:pPr>
          </w:p>
        </w:tc>
      </w:tr>
    </w:tbl>
    <w:p w14:paraId="6DFB1EB0" w14:textId="77777777" w:rsidR="00AE7680" w:rsidRPr="002D7319" w:rsidRDefault="00AE7680" w:rsidP="007C24CF">
      <w:pPr>
        <w:rPr>
          <w:rFonts w:ascii="Arial" w:hAnsi="Arial" w:cs="Arial"/>
          <w:lang w:eastAsia="en-US"/>
        </w:rPr>
      </w:pPr>
    </w:p>
    <w:sectPr w:rsidR="00AE7680" w:rsidRPr="002D7319" w:rsidSect="002D7319">
      <w:headerReference w:type="default" r:id="rId8"/>
      <w:footerReference w:type="even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2B64" w14:textId="77777777" w:rsidR="00E80AD3" w:rsidRDefault="00E80AD3">
      <w:r>
        <w:separator/>
      </w:r>
    </w:p>
  </w:endnote>
  <w:endnote w:type="continuationSeparator" w:id="0">
    <w:p w14:paraId="44BD0596" w14:textId="77777777" w:rsidR="00E80AD3" w:rsidRDefault="00E8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DAB1" w14:textId="77777777" w:rsidR="006074D1" w:rsidRDefault="00696FCA" w:rsidP="00E441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7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998B40" w14:textId="77777777" w:rsidR="006074D1" w:rsidRDefault="006074D1" w:rsidP="00245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E120" w14:textId="77777777" w:rsidR="00E80AD3" w:rsidRDefault="00E80AD3">
      <w:r>
        <w:separator/>
      </w:r>
    </w:p>
  </w:footnote>
  <w:footnote w:type="continuationSeparator" w:id="0">
    <w:p w14:paraId="1A7FBC5D" w14:textId="77777777" w:rsidR="00E80AD3" w:rsidRDefault="00E8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43E2" w14:textId="77777777" w:rsidR="006074D1" w:rsidRDefault="006074D1" w:rsidP="002455E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D132" w14:textId="77777777" w:rsidR="007C24CF" w:rsidRDefault="00B90FF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B92A503" wp14:editId="43D15F6C">
          <wp:simplePos x="0" y="0"/>
          <wp:positionH relativeFrom="column">
            <wp:posOffset>2263775</wp:posOffset>
          </wp:positionH>
          <wp:positionV relativeFrom="paragraph">
            <wp:posOffset>-450215</wp:posOffset>
          </wp:positionV>
          <wp:extent cx="4038600" cy="733425"/>
          <wp:effectExtent l="0" t="0" r="0" b="0"/>
          <wp:wrapSquare wrapText="bothSides"/>
          <wp:docPr id="1" name="Picture 0" descr="AWTTC-Welsh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WTTC-Welsh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" t="28062" r="6526" b="34782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6C"/>
    <w:rsid w:val="0001153E"/>
    <w:rsid w:val="00021859"/>
    <w:rsid w:val="00026BB5"/>
    <w:rsid w:val="00045EA1"/>
    <w:rsid w:val="0006393D"/>
    <w:rsid w:val="000C0CD2"/>
    <w:rsid w:val="0011104E"/>
    <w:rsid w:val="00112951"/>
    <w:rsid w:val="001303F5"/>
    <w:rsid w:val="00157392"/>
    <w:rsid w:val="00160C24"/>
    <w:rsid w:val="001716DC"/>
    <w:rsid w:val="001B148C"/>
    <w:rsid w:val="001B7614"/>
    <w:rsid w:val="001F4E15"/>
    <w:rsid w:val="00203648"/>
    <w:rsid w:val="00231330"/>
    <w:rsid w:val="0023153E"/>
    <w:rsid w:val="002455E5"/>
    <w:rsid w:val="002C2EFE"/>
    <w:rsid w:val="002D7319"/>
    <w:rsid w:val="00333C30"/>
    <w:rsid w:val="00351F5C"/>
    <w:rsid w:val="00374F4A"/>
    <w:rsid w:val="003B1018"/>
    <w:rsid w:val="003D64DF"/>
    <w:rsid w:val="00433634"/>
    <w:rsid w:val="00456DF1"/>
    <w:rsid w:val="004953DE"/>
    <w:rsid w:val="004E4591"/>
    <w:rsid w:val="00507829"/>
    <w:rsid w:val="00534D72"/>
    <w:rsid w:val="005405EC"/>
    <w:rsid w:val="00592BFD"/>
    <w:rsid w:val="005A2DEE"/>
    <w:rsid w:val="005E1B48"/>
    <w:rsid w:val="0060227F"/>
    <w:rsid w:val="006074D1"/>
    <w:rsid w:val="00646D4E"/>
    <w:rsid w:val="00696FCA"/>
    <w:rsid w:val="00702400"/>
    <w:rsid w:val="007C24CF"/>
    <w:rsid w:val="00834CBC"/>
    <w:rsid w:val="00880849"/>
    <w:rsid w:val="008B1EC4"/>
    <w:rsid w:val="008B3CD5"/>
    <w:rsid w:val="008C5FA5"/>
    <w:rsid w:val="008F1ADB"/>
    <w:rsid w:val="009510C3"/>
    <w:rsid w:val="009A33E4"/>
    <w:rsid w:val="009C7679"/>
    <w:rsid w:val="009E1AF2"/>
    <w:rsid w:val="00A17C67"/>
    <w:rsid w:val="00A20E96"/>
    <w:rsid w:val="00A7001E"/>
    <w:rsid w:val="00A72734"/>
    <w:rsid w:val="00AB3D9A"/>
    <w:rsid w:val="00AE7680"/>
    <w:rsid w:val="00AE76B2"/>
    <w:rsid w:val="00B15442"/>
    <w:rsid w:val="00B158F7"/>
    <w:rsid w:val="00B1747D"/>
    <w:rsid w:val="00B30A6B"/>
    <w:rsid w:val="00B62A28"/>
    <w:rsid w:val="00B874BF"/>
    <w:rsid w:val="00B90FFD"/>
    <w:rsid w:val="00BF5C45"/>
    <w:rsid w:val="00C128C5"/>
    <w:rsid w:val="00C133B3"/>
    <w:rsid w:val="00C3206C"/>
    <w:rsid w:val="00C53BFC"/>
    <w:rsid w:val="00C81C13"/>
    <w:rsid w:val="00CE5A0B"/>
    <w:rsid w:val="00D35CB4"/>
    <w:rsid w:val="00D62377"/>
    <w:rsid w:val="00D92FF2"/>
    <w:rsid w:val="00DB05CE"/>
    <w:rsid w:val="00DD7F0D"/>
    <w:rsid w:val="00DE6BCE"/>
    <w:rsid w:val="00E4411D"/>
    <w:rsid w:val="00E67453"/>
    <w:rsid w:val="00E80AD3"/>
    <w:rsid w:val="00E81D42"/>
    <w:rsid w:val="00ED7364"/>
    <w:rsid w:val="00F37960"/>
    <w:rsid w:val="00F5475D"/>
    <w:rsid w:val="00F94A8A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1879B"/>
  <w15:chartTrackingRefBased/>
  <w15:docId w15:val="{D8C7C07A-2358-4396-9DB7-5AAD3604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7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16DC"/>
    <w:rPr>
      <w:color w:val="0000FF"/>
      <w:u w:val="single"/>
    </w:rPr>
  </w:style>
  <w:style w:type="paragraph" w:styleId="Header">
    <w:name w:val="header"/>
    <w:basedOn w:val="Normal"/>
    <w:rsid w:val="002455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455E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455E5"/>
  </w:style>
  <w:style w:type="character" w:customStyle="1" w:styleId="FooterChar">
    <w:name w:val="Footer Char"/>
    <w:link w:val="Footer"/>
    <w:uiPriority w:val="99"/>
    <w:rsid w:val="00AB3D9A"/>
    <w:rPr>
      <w:sz w:val="24"/>
      <w:szCs w:val="24"/>
    </w:rPr>
  </w:style>
  <w:style w:type="paragraph" w:styleId="BalloonText">
    <w:name w:val="Balloon Text"/>
    <w:basedOn w:val="Normal"/>
    <w:link w:val="BalloonTextChar"/>
    <w:rsid w:val="00607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74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074D1"/>
    <w:rPr>
      <w:rFonts w:ascii="Arial" w:hAnsi="Arial"/>
      <w:szCs w:val="20"/>
      <w:lang w:eastAsia="en-US"/>
    </w:rPr>
  </w:style>
  <w:style w:type="character" w:customStyle="1" w:styleId="BodyTextChar">
    <w:name w:val="Body Text Char"/>
    <w:link w:val="BodyText"/>
    <w:rsid w:val="006074D1"/>
    <w:rPr>
      <w:rFonts w:ascii="Arial" w:hAnsi="Arial"/>
      <w:sz w:val="24"/>
      <w:lang w:eastAsia="en-US"/>
    </w:rPr>
  </w:style>
  <w:style w:type="character" w:styleId="CommentReference">
    <w:name w:val="annotation reference"/>
    <w:rsid w:val="001B14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4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148C"/>
  </w:style>
  <w:style w:type="paragraph" w:styleId="CommentSubject">
    <w:name w:val="annotation subject"/>
    <w:basedOn w:val="CommentText"/>
    <w:next w:val="CommentText"/>
    <w:link w:val="CommentSubjectChar"/>
    <w:rsid w:val="001B148C"/>
    <w:rPr>
      <w:b/>
      <w:bCs/>
    </w:rPr>
  </w:style>
  <w:style w:type="character" w:customStyle="1" w:styleId="CommentSubjectChar">
    <w:name w:val="Comment Subject Char"/>
    <w:link w:val="CommentSubject"/>
    <w:rsid w:val="001B148C"/>
    <w:rPr>
      <w:b/>
      <w:bCs/>
    </w:rPr>
  </w:style>
  <w:style w:type="paragraph" w:styleId="Revision">
    <w:name w:val="Revision"/>
    <w:hidden/>
    <w:uiPriority w:val="99"/>
    <w:semiHidden/>
    <w:rsid w:val="001B148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5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mc/articles/PMC7047494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TTC@wales.nhs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elsh%20Medicines%20Partnership\PROJECTS\PROJECTS%20IN%20PROCESS\Common%20Ailments%20Service%20-%20Formulary%20(Update)\Document\UTI%20monograph%20(October%202023)\To%20Consultation\CAS%20Formulary%20-%20UTI%20monograph%20-%20Consultation%20feedback%20form%20(English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CAS Formulary - UTI monograph - Consultation feedback form (English)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C&amp;V-TR</Company>
  <LinksUpToDate>false</LinksUpToDate>
  <CharactersWithSpaces>3466</CharactersWithSpaces>
  <SharedDoc>false</SharedDoc>
  <HLinks>
    <vt:vector size="6" baseType="variant"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mailto:AWTTC@wales.nhs.uk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Curran (Cardiff and Vale UHB - Awttc)</dc:creator>
  <cp:keywords/>
  <cp:lastModifiedBy>Alwyn Fortune</cp:lastModifiedBy>
  <cp:revision>3</cp:revision>
  <dcterms:created xsi:type="dcterms:W3CDTF">2023-10-26T10:54:00Z</dcterms:created>
  <dcterms:modified xsi:type="dcterms:W3CDTF">2023-11-07T16:54:00Z</dcterms:modified>
</cp:coreProperties>
</file>