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07EB52D3" w:rsidR="00661D47" w:rsidRDefault="00661D47" w:rsidP="004C7583">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69D50EA4" w14:textId="7D7A6834" w:rsidR="004C7583" w:rsidRDefault="004C7583" w:rsidP="004C7583">
            <w:pPr>
              <w:pStyle w:val="Paragraphnonumbers"/>
              <w:numPr>
                <w:ilvl w:val="0"/>
                <w:numId w:val="7"/>
              </w:numPr>
              <w:spacing w:after="0"/>
              <w:rPr>
                <w:rFonts w:cs="Arial"/>
                <w:bCs/>
                <w:sz w:val="22"/>
                <w:szCs w:val="22"/>
              </w:rPr>
            </w:pPr>
            <w:r>
              <w:rPr>
                <w:rFonts w:cs="Arial"/>
                <w:bCs/>
                <w:sz w:val="22"/>
                <w:szCs w:val="22"/>
              </w:rPr>
              <w:t xml:space="preserve">Please tell us if there are any </w:t>
            </w:r>
            <w:proofErr w:type="gramStart"/>
            <w:r>
              <w:rPr>
                <w:rFonts w:cs="Arial"/>
                <w:bCs/>
                <w:sz w:val="22"/>
                <w:szCs w:val="22"/>
              </w:rPr>
              <w:t>particular issues</w:t>
            </w:r>
            <w:proofErr w:type="gramEnd"/>
            <w:r>
              <w:rPr>
                <w:rFonts w:cs="Arial"/>
                <w:bCs/>
                <w:sz w:val="22"/>
                <w:szCs w:val="22"/>
              </w:rPr>
              <w:t xml:space="preserve"> relating to COVID-19 that we should take into account when finalising the guideline for publication. </w:t>
            </w:r>
          </w:p>
          <w:p w14:paraId="4CF77564" w14:textId="77777777" w:rsidR="00D062E4" w:rsidRDefault="00D062E4" w:rsidP="00D062E4">
            <w:pPr>
              <w:pStyle w:val="Paragraphnonumbers"/>
              <w:spacing w:after="0"/>
              <w:ind w:left="720"/>
              <w:rPr>
                <w:rFonts w:cs="Arial"/>
                <w:bCs/>
                <w:sz w:val="22"/>
                <w:szCs w:val="22"/>
              </w:rPr>
            </w:pPr>
          </w:p>
          <w:p w14:paraId="2E18FE5A" w14:textId="700F93B1" w:rsidR="00D062E4" w:rsidRPr="00D062E4" w:rsidRDefault="00D062E4" w:rsidP="00D062E4">
            <w:pPr>
              <w:pStyle w:val="Paragraphnonumbers"/>
              <w:spacing w:after="0"/>
              <w:rPr>
                <w:rFonts w:cs="Arial"/>
                <w:bCs/>
                <w:sz w:val="22"/>
                <w:szCs w:val="22"/>
              </w:rPr>
            </w:pPr>
            <w:r>
              <w:t xml:space="preserve">See </w:t>
            </w:r>
            <w:hyperlink r:id="rId9" w:history="1">
              <w:hyperlink r:id="rId10" w:history="1">
                <w:r>
                  <w:rPr>
                    <w:rStyle w:val="Hyperlink"/>
                  </w:rPr>
                  <w:t>Developing NICE guidance: how to get involved</w:t>
                </w:r>
              </w:hyperlink>
            </w:hyperlink>
            <w:r>
              <w:t xml:space="preserve"> for suggestions of general points to think about when commenting.</w:t>
            </w: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745916BB" w:rsidR="00661D47" w:rsidRPr="006B094C" w:rsidRDefault="005A2029" w:rsidP="00533D9C">
            <w:pPr>
              <w:spacing w:before="240"/>
              <w:rPr>
                <w:rFonts w:cs="Arial"/>
                <w:szCs w:val="22"/>
              </w:rPr>
            </w:pPr>
            <w:r>
              <w:rPr>
                <w:rFonts w:cs="Arial"/>
                <w:szCs w:val="22"/>
              </w:rPr>
              <w:t>Royal Pharmaceutical Society</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2E4FDFD0" w:rsidR="00661D47" w:rsidRPr="006B094C" w:rsidRDefault="00661D47" w:rsidP="00533D9C">
            <w:pPr>
              <w:spacing w:before="240"/>
              <w:rPr>
                <w:rFonts w:cs="Arial"/>
                <w:b/>
                <w:szCs w:val="22"/>
                <w:highlight w:val="lightGray"/>
                <w:u w:val="single"/>
              </w:rPr>
            </w:pP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25E25A4" w14:textId="3524E1DB" w:rsidR="00396BDE" w:rsidRDefault="005A2029" w:rsidP="00533D9C">
            <w:pPr>
              <w:rPr>
                <w:rFonts w:cs="Arial"/>
                <w:szCs w:val="22"/>
              </w:rPr>
            </w:pPr>
            <w:r>
              <w:rPr>
                <w:rFonts w:cs="Arial"/>
                <w:szCs w:val="22"/>
              </w:rPr>
              <w:t>Heidi Wright and Dr Hayley Gorton</w:t>
            </w: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B114FEA"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lastRenderedPageBreak/>
              <w:t>Document</w:t>
            </w:r>
          </w:p>
          <w:p w14:paraId="4A9301F2" w14:textId="6A29C9BB"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 xml:space="preserve">guideline, </w:t>
            </w:r>
            <w:r w:rsidRPr="006B094C">
              <w:rPr>
                <w:rFonts w:cs="Arial"/>
                <w:bCs/>
                <w:sz w:val="18"/>
                <w:szCs w:val="18"/>
              </w:rPr>
              <w:lastRenderedPageBreak/>
              <w:t>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lastRenderedPageBreak/>
              <w:t>Page number</w:t>
            </w:r>
          </w:p>
          <w:p w14:paraId="1C6F1928" w14:textId="498EE13F" w:rsidR="00661D47" w:rsidRPr="006B094C" w:rsidRDefault="00661D47" w:rsidP="009228A1">
            <w:pPr>
              <w:rPr>
                <w:rFonts w:cs="Arial"/>
                <w:sz w:val="18"/>
                <w:szCs w:val="18"/>
              </w:rPr>
            </w:pPr>
            <w:r w:rsidRPr="006B094C">
              <w:rPr>
                <w:rFonts w:cs="Arial"/>
                <w:b/>
                <w:sz w:val="18"/>
                <w:szCs w:val="18"/>
              </w:rPr>
              <w:lastRenderedPageBreak/>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lastRenderedPageBreak/>
              <w:t>Line number</w:t>
            </w:r>
          </w:p>
          <w:p w14:paraId="380A3CDB" w14:textId="4D2ACB59" w:rsidR="00661D47" w:rsidRPr="006B094C" w:rsidRDefault="00812077" w:rsidP="009228A1">
            <w:pPr>
              <w:rPr>
                <w:rFonts w:cs="Arial"/>
                <w:sz w:val="18"/>
                <w:szCs w:val="18"/>
              </w:rPr>
            </w:pPr>
            <w:r w:rsidRPr="006B094C">
              <w:rPr>
                <w:rFonts w:cs="Arial"/>
                <w:b/>
                <w:sz w:val="18"/>
                <w:szCs w:val="18"/>
              </w:rPr>
              <w:lastRenderedPageBreak/>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lastRenderedPageBreak/>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lastRenderedPageBreak/>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lastRenderedPageBreak/>
              <w:t>1</w:t>
            </w:r>
          </w:p>
        </w:tc>
        <w:tc>
          <w:tcPr>
            <w:tcW w:w="445" w:type="pct"/>
          </w:tcPr>
          <w:p w14:paraId="6DEE533A" w14:textId="68CB9CB1" w:rsidR="00661D47" w:rsidRPr="006B094C" w:rsidRDefault="00DF7373" w:rsidP="00533D9C">
            <w:pPr>
              <w:rPr>
                <w:rFonts w:cs="Arial"/>
                <w:szCs w:val="22"/>
              </w:rPr>
            </w:pPr>
            <w:r>
              <w:rPr>
                <w:rFonts w:cs="Arial"/>
                <w:szCs w:val="22"/>
              </w:rPr>
              <w:t xml:space="preserve">Guideline </w:t>
            </w:r>
          </w:p>
        </w:tc>
        <w:tc>
          <w:tcPr>
            <w:tcW w:w="349" w:type="pct"/>
          </w:tcPr>
          <w:p w14:paraId="6AFBCB28" w14:textId="543B529A" w:rsidR="00661D47" w:rsidRPr="006B094C" w:rsidRDefault="00DF7373" w:rsidP="00533D9C">
            <w:pPr>
              <w:rPr>
                <w:rFonts w:cs="Arial"/>
                <w:szCs w:val="22"/>
              </w:rPr>
            </w:pPr>
            <w:r>
              <w:rPr>
                <w:rFonts w:cs="Arial"/>
                <w:szCs w:val="22"/>
              </w:rPr>
              <w:t>23</w:t>
            </w:r>
          </w:p>
        </w:tc>
        <w:tc>
          <w:tcPr>
            <w:tcW w:w="383" w:type="pct"/>
          </w:tcPr>
          <w:p w14:paraId="58ADBDBB" w14:textId="64A65AEE" w:rsidR="00661D47" w:rsidRPr="006B094C" w:rsidRDefault="00DF7373" w:rsidP="00533D9C">
            <w:pPr>
              <w:rPr>
                <w:rFonts w:cs="Arial"/>
                <w:szCs w:val="22"/>
              </w:rPr>
            </w:pPr>
            <w:r>
              <w:rPr>
                <w:rFonts w:cs="Arial"/>
                <w:szCs w:val="22"/>
              </w:rPr>
              <w:t>10</w:t>
            </w:r>
          </w:p>
        </w:tc>
        <w:tc>
          <w:tcPr>
            <w:tcW w:w="3360" w:type="pct"/>
          </w:tcPr>
          <w:p w14:paraId="2B9310F5" w14:textId="77777777" w:rsidR="00661D47" w:rsidRDefault="00DF7373" w:rsidP="00533D9C">
            <w:pPr>
              <w:rPr>
                <w:rFonts w:cs="Arial"/>
                <w:szCs w:val="22"/>
              </w:rPr>
            </w:pPr>
            <w:r>
              <w:rPr>
                <w:rFonts w:cs="Arial"/>
                <w:szCs w:val="22"/>
              </w:rPr>
              <w:t xml:space="preserve">Rec 1.2.3 Please define how community pharmacy teams can access and refer to specialist teams. There is no infrastructure </w:t>
            </w:r>
            <w:r w:rsidR="005A2029">
              <w:rPr>
                <w:rFonts w:cs="Arial"/>
                <w:szCs w:val="22"/>
              </w:rPr>
              <w:t xml:space="preserve">currently in place </w:t>
            </w:r>
            <w:r>
              <w:rPr>
                <w:rFonts w:cs="Arial"/>
                <w:szCs w:val="22"/>
              </w:rPr>
              <w:t>to support this.</w:t>
            </w:r>
          </w:p>
          <w:p w14:paraId="1C54A70C" w14:textId="1311C3D9" w:rsidR="005A2029" w:rsidRPr="006B094C" w:rsidRDefault="005A2029"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18E86D1" w:rsidR="00661D47" w:rsidRPr="006B094C" w:rsidRDefault="006B6EDE" w:rsidP="00533D9C">
            <w:pPr>
              <w:rPr>
                <w:rFonts w:cs="Arial"/>
                <w:szCs w:val="22"/>
              </w:rPr>
            </w:pPr>
            <w:r>
              <w:rPr>
                <w:rFonts w:cs="Arial"/>
                <w:szCs w:val="22"/>
              </w:rPr>
              <w:t>Guideline</w:t>
            </w:r>
          </w:p>
        </w:tc>
        <w:tc>
          <w:tcPr>
            <w:tcW w:w="349" w:type="pct"/>
          </w:tcPr>
          <w:p w14:paraId="45F6635E" w14:textId="6AC23D02" w:rsidR="00661D47" w:rsidRPr="006B094C" w:rsidRDefault="006B6EDE" w:rsidP="00533D9C">
            <w:pPr>
              <w:rPr>
                <w:rFonts w:cs="Arial"/>
                <w:szCs w:val="22"/>
              </w:rPr>
            </w:pPr>
            <w:r>
              <w:rPr>
                <w:rFonts w:cs="Arial"/>
                <w:szCs w:val="22"/>
              </w:rPr>
              <w:t>17</w:t>
            </w:r>
          </w:p>
        </w:tc>
        <w:tc>
          <w:tcPr>
            <w:tcW w:w="383" w:type="pct"/>
          </w:tcPr>
          <w:p w14:paraId="184EDC47" w14:textId="38AB65F8" w:rsidR="00661D47" w:rsidRPr="006B094C" w:rsidRDefault="006B6EDE" w:rsidP="00533D9C">
            <w:pPr>
              <w:rPr>
                <w:rFonts w:cs="Arial"/>
                <w:szCs w:val="22"/>
              </w:rPr>
            </w:pPr>
            <w:r>
              <w:rPr>
                <w:rFonts w:cs="Arial"/>
                <w:szCs w:val="22"/>
              </w:rPr>
              <w:t>8</w:t>
            </w:r>
          </w:p>
        </w:tc>
        <w:tc>
          <w:tcPr>
            <w:tcW w:w="3360" w:type="pct"/>
          </w:tcPr>
          <w:p w14:paraId="4A2E5192" w14:textId="7B282FF4" w:rsidR="005A2029" w:rsidRDefault="006B6EDE" w:rsidP="00533D9C">
            <w:r>
              <w:rPr>
                <w:rFonts w:cs="Arial"/>
                <w:szCs w:val="22"/>
              </w:rPr>
              <w:t xml:space="preserve">We are delighted </w:t>
            </w:r>
            <w:r w:rsidR="005A2029">
              <w:rPr>
                <w:rFonts w:cs="Arial"/>
                <w:szCs w:val="22"/>
              </w:rPr>
              <w:t xml:space="preserve">that the work </w:t>
            </w:r>
            <w:r>
              <w:rPr>
                <w:rFonts w:cs="Arial"/>
                <w:szCs w:val="22"/>
              </w:rPr>
              <w:t>on community pharmacy has been included in this guidance. This section, however, seems most relevant to general practice rather than primary care, which incorporates community pharmacy, dental &amp; opticians</w:t>
            </w:r>
            <w:r w:rsidR="005A2029">
              <w:rPr>
                <w:rFonts w:cs="Arial"/>
                <w:szCs w:val="22"/>
              </w:rPr>
              <w:t xml:space="preserve"> as well</w:t>
            </w:r>
            <w:r>
              <w:rPr>
                <w:rFonts w:cs="Arial"/>
                <w:szCs w:val="22"/>
              </w:rPr>
              <w:t>.</w:t>
            </w:r>
            <w:r w:rsidR="00332324">
              <w:rPr>
                <w:rFonts w:cs="Arial"/>
                <w:szCs w:val="22"/>
              </w:rPr>
              <w:t xml:space="preserve"> </w:t>
            </w:r>
            <w:r w:rsidR="005A2029">
              <w:rPr>
                <w:rFonts w:cs="Arial"/>
                <w:szCs w:val="22"/>
              </w:rPr>
              <w:t>The</w:t>
            </w:r>
            <w:r w:rsidR="00332324">
              <w:rPr>
                <w:rFonts w:cs="Arial"/>
                <w:szCs w:val="22"/>
              </w:rPr>
              <w:t xml:space="preserve"> editorial </w:t>
            </w:r>
            <w:r w:rsidR="00332324" w:rsidRPr="00332324">
              <w:rPr>
                <w:rFonts w:cs="Arial"/>
                <w:szCs w:val="22"/>
              </w:rPr>
              <w:t>https://econtent.hogrefe.com/doi/10.1027/0227-5910/a000817</w:t>
            </w:r>
            <w:r w:rsidR="00332324">
              <w:t xml:space="preserve"> on the role of primary care in suicide prevention might be noteworthy.</w:t>
            </w:r>
          </w:p>
          <w:p w14:paraId="24653C14" w14:textId="76237AE3" w:rsidR="00661D47" w:rsidRPr="00332324" w:rsidRDefault="00332324" w:rsidP="00533D9C">
            <w:r>
              <w:t xml:space="preserve"> </w:t>
            </w: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F37B16B" w:rsidR="00661D47" w:rsidRPr="006B094C" w:rsidRDefault="006B6EDE" w:rsidP="00533D9C">
            <w:pPr>
              <w:rPr>
                <w:rFonts w:cs="Arial"/>
                <w:szCs w:val="22"/>
              </w:rPr>
            </w:pPr>
            <w:r>
              <w:rPr>
                <w:rFonts w:cs="Arial"/>
                <w:szCs w:val="22"/>
              </w:rPr>
              <w:t>Guideline</w:t>
            </w:r>
          </w:p>
        </w:tc>
        <w:tc>
          <w:tcPr>
            <w:tcW w:w="349" w:type="pct"/>
          </w:tcPr>
          <w:p w14:paraId="1BE0399C" w14:textId="3A86A3C0" w:rsidR="00661D47" w:rsidRPr="006B094C" w:rsidRDefault="006B6EDE" w:rsidP="00533D9C">
            <w:pPr>
              <w:rPr>
                <w:rFonts w:cs="Arial"/>
                <w:szCs w:val="22"/>
              </w:rPr>
            </w:pPr>
            <w:r>
              <w:rPr>
                <w:rFonts w:cs="Arial"/>
                <w:szCs w:val="22"/>
              </w:rPr>
              <w:t>31</w:t>
            </w:r>
          </w:p>
        </w:tc>
        <w:tc>
          <w:tcPr>
            <w:tcW w:w="383" w:type="pct"/>
          </w:tcPr>
          <w:p w14:paraId="040ED0DF" w14:textId="765983F9" w:rsidR="00661D47" w:rsidRPr="006B094C" w:rsidRDefault="00140DE9" w:rsidP="00533D9C">
            <w:pPr>
              <w:rPr>
                <w:rFonts w:cs="Arial"/>
                <w:szCs w:val="22"/>
              </w:rPr>
            </w:pPr>
            <w:r>
              <w:rPr>
                <w:rFonts w:cs="Arial"/>
                <w:szCs w:val="22"/>
              </w:rPr>
              <w:t>4-</w:t>
            </w:r>
            <w:r w:rsidR="006B6EDE">
              <w:rPr>
                <w:rFonts w:cs="Arial"/>
                <w:szCs w:val="22"/>
              </w:rPr>
              <w:t>14</w:t>
            </w:r>
          </w:p>
        </w:tc>
        <w:tc>
          <w:tcPr>
            <w:tcW w:w="3360" w:type="pct"/>
          </w:tcPr>
          <w:p w14:paraId="2A482C61" w14:textId="77777777" w:rsidR="00661D47" w:rsidRDefault="006B6EDE" w:rsidP="007C5B7A">
            <w:pPr>
              <w:rPr>
                <w:rFonts w:cs="Arial"/>
                <w:szCs w:val="22"/>
              </w:rPr>
            </w:pPr>
            <w:r>
              <w:rPr>
                <w:rFonts w:cs="Arial"/>
                <w:szCs w:val="22"/>
              </w:rPr>
              <w:t>Rec 1.12.</w:t>
            </w:r>
            <w:r w:rsidR="00140DE9">
              <w:rPr>
                <w:rFonts w:cs="Arial"/>
                <w:szCs w:val="22"/>
              </w:rPr>
              <w:t>2-1.12.4 This is an appropriate recommendation. However, more work is needed to improve two-way communication between prescribers and community pharmacy so that pharmacists and their teams can support individuals. Pharmacists working in GP</w:t>
            </w:r>
            <w:r w:rsidR="005A2029">
              <w:rPr>
                <w:rFonts w:cs="Arial"/>
                <w:szCs w:val="22"/>
              </w:rPr>
              <w:t>s</w:t>
            </w:r>
            <w:r w:rsidR="00140DE9">
              <w:rPr>
                <w:rFonts w:cs="Arial"/>
                <w:szCs w:val="22"/>
              </w:rPr>
              <w:t xml:space="preserve"> and PCN</w:t>
            </w:r>
            <w:r w:rsidR="005A2029">
              <w:rPr>
                <w:rFonts w:cs="Arial"/>
                <w:szCs w:val="22"/>
              </w:rPr>
              <w:t>s</w:t>
            </w:r>
            <w:r w:rsidR="00140DE9">
              <w:rPr>
                <w:rFonts w:cs="Arial"/>
                <w:szCs w:val="22"/>
              </w:rPr>
              <w:t xml:space="preserve"> are well placed to have these discussions.</w:t>
            </w:r>
            <w:r w:rsidR="00B16982">
              <w:rPr>
                <w:rFonts w:cs="Arial"/>
                <w:szCs w:val="22"/>
              </w:rPr>
              <w:t xml:space="preserve"> This 2-way communication was identified in </w:t>
            </w:r>
            <w:r w:rsidR="005A2029">
              <w:rPr>
                <w:rFonts w:cs="Arial"/>
                <w:szCs w:val="22"/>
              </w:rPr>
              <w:t xml:space="preserve">the </w:t>
            </w:r>
            <w:r w:rsidR="00B16982">
              <w:rPr>
                <w:rFonts w:cs="Arial"/>
                <w:szCs w:val="22"/>
              </w:rPr>
              <w:t xml:space="preserve">work (Gorton, 2019), which has already been cited in evidence. Can we also direct you to </w:t>
            </w:r>
            <w:r w:rsidR="002D59F8">
              <w:rPr>
                <w:rFonts w:cs="Arial"/>
                <w:szCs w:val="22"/>
              </w:rPr>
              <w:t>th</w:t>
            </w:r>
            <w:r w:rsidR="0039445B">
              <w:rPr>
                <w:rFonts w:cs="Arial"/>
                <w:szCs w:val="22"/>
              </w:rPr>
              <w:t xml:space="preserve">ese </w:t>
            </w:r>
            <w:r w:rsidR="002D59F8">
              <w:rPr>
                <w:rFonts w:cs="Arial"/>
                <w:szCs w:val="22"/>
              </w:rPr>
              <w:t>work</w:t>
            </w:r>
            <w:r w:rsidR="0039445B">
              <w:rPr>
                <w:rFonts w:cs="Arial"/>
                <w:szCs w:val="22"/>
              </w:rPr>
              <w:t xml:space="preserve">s </w:t>
            </w:r>
            <w:hyperlink r:id="rId11" w:history="1">
              <w:r w:rsidR="0039445B" w:rsidRPr="00F707A7">
                <w:rPr>
                  <w:rStyle w:val="Hyperlink"/>
                  <w:rFonts w:cs="Arial"/>
                  <w:szCs w:val="22"/>
                </w:rPr>
                <w:t>https://doi.org/10.1211/CP.2019.20206034</w:t>
              </w:r>
            </w:hyperlink>
            <w:r w:rsidR="0039445B">
              <w:rPr>
                <w:rFonts w:cs="Arial"/>
                <w:szCs w:val="22"/>
              </w:rPr>
              <w:t xml:space="preserve"> </w:t>
            </w:r>
            <w:r w:rsidR="007C5B7A">
              <w:rPr>
                <w:rFonts w:cs="Arial"/>
                <w:szCs w:val="22"/>
              </w:rPr>
              <w:t xml:space="preserve">in which t the concept of ‘circle of care’ </w:t>
            </w:r>
            <w:r w:rsidR="005A2029">
              <w:rPr>
                <w:rFonts w:cs="Arial"/>
                <w:szCs w:val="22"/>
              </w:rPr>
              <w:t>is discussed and</w:t>
            </w:r>
            <w:r w:rsidR="0039445B">
              <w:rPr>
                <w:rFonts w:cs="Arial"/>
                <w:szCs w:val="22"/>
              </w:rPr>
              <w:t xml:space="preserve"> </w:t>
            </w:r>
            <w:hyperlink r:id="rId12" w:history="1">
              <w:r w:rsidR="0039445B" w:rsidRPr="00F707A7">
                <w:rPr>
                  <w:rStyle w:val="Hyperlink"/>
                  <w:rFonts w:cs="Arial"/>
                  <w:szCs w:val="22"/>
                </w:rPr>
                <w:t>https://www.sciencedirect.com/science/article/pii/B9780128193785000064?via%3Dihub</w:t>
              </w:r>
            </w:hyperlink>
            <w:r w:rsidR="0039445B">
              <w:rPr>
                <w:rFonts w:cs="Arial"/>
                <w:szCs w:val="22"/>
              </w:rPr>
              <w:t xml:space="preserve"> </w:t>
            </w:r>
            <w:r w:rsidR="007C5B7A">
              <w:rPr>
                <w:rFonts w:cs="Arial"/>
                <w:szCs w:val="22"/>
              </w:rPr>
              <w:t>. In this book chapter preliminary data relating to attitudes and experience of pharmacy staff who accessed additional training on suicide awareness</w:t>
            </w:r>
            <w:r w:rsidR="005A2029">
              <w:rPr>
                <w:rFonts w:cs="Arial"/>
                <w:szCs w:val="22"/>
              </w:rPr>
              <w:t xml:space="preserve"> is included</w:t>
            </w:r>
            <w:r w:rsidR="007C5B7A">
              <w:rPr>
                <w:rFonts w:cs="Arial"/>
                <w:szCs w:val="22"/>
              </w:rPr>
              <w:t xml:space="preserve"> (hosted by the Centre for Pharmacy Postgraduate Education (CPPE)). </w:t>
            </w:r>
            <w:r w:rsidR="005A2029">
              <w:rPr>
                <w:rFonts w:cs="Arial"/>
                <w:szCs w:val="22"/>
              </w:rPr>
              <w:t xml:space="preserve">The analysis has now been </w:t>
            </w:r>
            <w:r w:rsidR="007C5B7A">
              <w:rPr>
                <w:rFonts w:cs="Arial"/>
                <w:szCs w:val="22"/>
              </w:rPr>
              <w:t xml:space="preserve">completed and </w:t>
            </w:r>
            <w:r w:rsidR="005A2029">
              <w:rPr>
                <w:rFonts w:cs="Arial"/>
                <w:szCs w:val="22"/>
              </w:rPr>
              <w:t xml:space="preserve">we </w:t>
            </w:r>
            <w:r w:rsidR="007C5B7A">
              <w:rPr>
                <w:rFonts w:cs="Arial"/>
                <w:szCs w:val="22"/>
              </w:rPr>
              <w:t xml:space="preserve">can share a draft manuscript on request. </w:t>
            </w:r>
            <w:r w:rsidR="00140DE9">
              <w:rPr>
                <w:rFonts w:cs="Arial"/>
                <w:szCs w:val="22"/>
              </w:rPr>
              <w:t>It is noteworthy, however, that there is limited research on the extent and effectiveness of restricting prescription quantities.</w:t>
            </w:r>
            <w:r w:rsidR="00F16354">
              <w:rPr>
                <w:rFonts w:cs="Arial"/>
                <w:szCs w:val="22"/>
              </w:rPr>
              <w:t xml:space="preserve"> Restriction of OTC paracetamol pack size has been proven to be an effective intervention, and this is implemented by law. </w:t>
            </w:r>
            <w:r w:rsidR="00140DE9">
              <w:rPr>
                <w:rFonts w:cs="Arial"/>
                <w:szCs w:val="22"/>
              </w:rPr>
              <w:t xml:space="preserve"> </w:t>
            </w:r>
            <w:r w:rsidR="00F16354">
              <w:rPr>
                <w:rFonts w:cs="Arial"/>
                <w:szCs w:val="22"/>
              </w:rPr>
              <w:t xml:space="preserve">Restriction of prescription quantities </w:t>
            </w:r>
            <w:r w:rsidR="00140DE9">
              <w:rPr>
                <w:rFonts w:cs="Arial"/>
                <w:szCs w:val="22"/>
              </w:rPr>
              <w:t xml:space="preserve">seems </w:t>
            </w:r>
            <w:proofErr w:type="gramStart"/>
            <w:r w:rsidR="00140DE9">
              <w:rPr>
                <w:rFonts w:cs="Arial"/>
                <w:szCs w:val="22"/>
              </w:rPr>
              <w:t>pragmatic</w:t>
            </w:r>
            <w:proofErr w:type="gramEnd"/>
            <w:r w:rsidR="00140DE9">
              <w:rPr>
                <w:rFonts w:cs="Arial"/>
                <w:szCs w:val="22"/>
              </w:rPr>
              <w:t xml:space="preserve"> but we must be vigilant to any</w:t>
            </w:r>
            <w:r w:rsidR="00B16982">
              <w:rPr>
                <w:rFonts w:cs="Arial"/>
                <w:szCs w:val="22"/>
              </w:rPr>
              <w:t xml:space="preserve"> potential</w:t>
            </w:r>
            <w:r w:rsidR="00140DE9">
              <w:rPr>
                <w:rFonts w:cs="Arial"/>
                <w:szCs w:val="22"/>
              </w:rPr>
              <w:t xml:space="preserve"> unintended ha</w:t>
            </w:r>
            <w:r w:rsidR="0046549C">
              <w:rPr>
                <w:rFonts w:cs="Arial"/>
                <w:szCs w:val="22"/>
              </w:rPr>
              <w:t>rm</w:t>
            </w:r>
            <w:r w:rsidR="00140DE9">
              <w:rPr>
                <w:rFonts w:cs="Arial"/>
                <w:szCs w:val="22"/>
              </w:rPr>
              <w:t xml:space="preserve">. </w:t>
            </w:r>
          </w:p>
          <w:p w14:paraId="476F9B28" w14:textId="02810276" w:rsidR="005A2029" w:rsidRPr="006B094C" w:rsidRDefault="005A2029" w:rsidP="007C5B7A">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1DFB709E" w:rsidR="00661D47" w:rsidRPr="006B094C" w:rsidRDefault="00102C55" w:rsidP="00533D9C">
            <w:pPr>
              <w:rPr>
                <w:rFonts w:cs="Arial"/>
                <w:szCs w:val="22"/>
              </w:rPr>
            </w:pPr>
            <w:r>
              <w:rPr>
                <w:rFonts w:cs="Arial"/>
                <w:szCs w:val="22"/>
              </w:rPr>
              <w:t>Guideline</w:t>
            </w:r>
          </w:p>
        </w:tc>
        <w:tc>
          <w:tcPr>
            <w:tcW w:w="349" w:type="pct"/>
          </w:tcPr>
          <w:p w14:paraId="79BD008B" w14:textId="1AEE0578" w:rsidR="00661D47" w:rsidRPr="006B094C" w:rsidRDefault="00102C55" w:rsidP="00533D9C">
            <w:pPr>
              <w:rPr>
                <w:rFonts w:cs="Arial"/>
                <w:szCs w:val="22"/>
              </w:rPr>
            </w:pPr>
            <w:r>
              <w:rPr>
                <w:rFonts w:cs="Arial"/>
                <w:szCs w:val="22"/>
              </w:rPr>
              <w:t>31</w:t>
            </w:r>
          </w:p>
        </w:tc>
        <w:tc>
          <w:tcPr>
            <w:tcW w:w="383" w:type="pct"/>
          </w:tcPr>
          <w:p w14:paraId="62CADCDD" w14:textId="20D57545" w:rsidR="00661D47" w:rsidRPr="006B094C" w:rsidRDefault="00102C55" w:rsidP="00533D9C">
            <w:pPr>
              <w:rPr>
                <w:rFonts w:cs="Arial"/>
                <w:szCs w:val="22"/>
              </w:rPr>
            </w:pPr>
            <w:r>
              <w:rPr>
                <w:rFonts w:cs="Arial"/>
                <w:szCs w:val="22"/>
              </w:rPr>
              <w:t>18</w:t>
            </w:r>
          </w:p>
        </w:tc>
        <w:tc>
          <w:tcPr>
            <w:tcW w:w="3360" w:type="pct"/>
          </w:tcPr>
          <w:p w14:paraId="51E46192" w14:textId="77777777" w:rsidR="00661D47" w:rsidRDefault="0039445B" w:rsidP="00533D9C">
            <w:pPr>
              <w:rPr>
                <w:rFonts w:cs="Arial"/>
                <w:szCs w:val="22"/>
              </w:rPr>
            </w:pPr>
            <w:r>
              <w:rPr>
                <w:rFonts w:cs="Arial"/>
                <w:szCs w:val="22"/>
              </w:rPr>
              <w:t xml:space="preserve">Rec 1.12.5 Almost all community pharmacy </w:t>
            </w:r>
            <w:proofErr w:type="gramStart"/>
            <w:r>
              <w:rPr>
                <w:rFonts w:cs="Arial"/>
                <w:szCs w:val="22"/>
              </w:rPr>
              <w:t>staff</w:t>
            </w:r>
            <w:proofErr w:type="gramEnd"/>
            <w:r>
              <w:rPr>
                <w:rFonts w:cs="Arial"/>
                <w:szCs w:val="22"/>
              </w:rPr>
              <w:t xml:space="preserve"> with patient-facing roles completed the Zero Suicide Alliance training in 2021. Additional, specific training might be valuable. </w:t>
            </w:r>
          </w:p>
          <w:p w14:paraId="1B87FA9B" w14:textId="2DDB51F8" w:rsidR="005A2029" w:rsidRPr="006B094C" w:rsidRDefault="005A2029"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40E04678" w:rsidR="00661D47" w:rsidRPr="006B094C" w:rsidRDefault="00D57EF0" w:rsidP="00533D9C">
            <w:pPr>
              <w:rPr>
                <w:rFonts w:cs="Arial"/>
                <w:szCs w:val="22"/>
              </w:rPr>
            </w:pPr>
            <w:r>
              <w:rPr>
                <w:rFonts w:cs="Arial"/>
                <w:szCs w:val="22"/>
              </w:rPr>
              <w:t xml:space="preserve">Guideline </w:t>
            </w:r>
          </w:p>
        </w:tc>
        <w:tc>
          <w:tcPr>
            <w:tcW w:w="349" w:type="pct"/>
          </w:tcPr>
          <w:p w14:paraId="1F8ACF86" w14:textId="48A7F47E" w:rsidR="00661D47" w:rsidRPr="006B094C" w:rsidRDefault="00D57EF0" w:rsidP="00533D9C">
            <w:pPr>
              <w:rPr>
                <w:rFonts w:cs="Arial"/>
                <w:szCs w:val="22"/>
              </w:rPr>
            </w:pPr>
            <w:r>
              <w:rPr>
                <w:rFonts w:cs="Arial"/>
                <w:szCs w:val="22"/>
              </w:rPr>
              <w:t>32</w:t>
            </w:r>
          </w:p>
        </w:tc>
        <w:tc>
          <w:tcPr>
            <w:tcW w:w="383" w:type="pct"/>
          </w:tcPr>
          <w:p w14:paraId="2B480EA3" w14:textId="6E5B6B00" w:rsidR="00661D47" w:rsidRPr="006B094C" w:rsidRDefault="00D57EF0" w:rsidP="00533D9C">
            <w:pPr>
              <w:rPr>
                <w:rFonts w:cs="Arial"/>
                <w:szCs w:val="22"/>
              </w:rPr>
            </w:pPr>
            <w:r>
              <w:rPr>
                <w:rFonts w:cs="Arial"/>
                <w:szCs w:val="22"/>
              </w:rPr>
              <w:t>1</w:t>
            </w:r>
          </w:p>
        </w:tc>
        <w:tc>
          <w:tcPr>
            <w:tcW w:w="3360" w:type="pct"/>
          </w:tcPr>
          <w:p w14:paraId="687FDFF0" w14:textId="77777777" w:rsidR="00661D47" w:rsidRDefault="00D57EF0" w:rsidP="00533D9C">
            <w:pPr>
              <w:rPr>
                <w:rFonts w:cs="Arial"/>
                <w:szCs w:val="22"/>
              </w:rPr>
            </w:pPr>
            <w:r>
              <w:rPr>
                <w:rFonts w:cs="Arial"/>
                <w:szCs w:val="22"/>
              </w:rPr>
              <w:t xml:space="preserve">Rec 1.13 It is indicated that this will include pharmacist, pharmacy technicians and their teams working in community pharmacy and general practice. It would be helpful to indicate the extent of training expected of these teams. The HEE framework of core mental health competencies for all healthcare </w:t>
            </w:r>
            <w:r>
              <w:rPr>
                <w:rFonts w:cs="Arial"/>
                <w:szCs w:val="22"/>
              </w:rPr>
              <w:lastRenderedPageBreak/>
              <w:t xml:space="preserve">professionals </w:t>
            </w:r>
            <w:hyperlink r:id="rId13" w:history="1">
              <w:r w:rsidRPr="00F707A7">
                <w:rPr>
                  <w:rStyle w:val="Hyperlink"/>
                  <w:rFonts w:cs="Arial"/>
                  <w:szCs w:val="22"/>
                </w:rPr>
                <w:t>https://www.hee.nhs.uk/sites/default/files/documents/Pharmacy%20Framework%202020.pdf</w:t>
              </w:r>
            </w:hyperlink>
            <w:r>
              <w:rPr>
                <w:rFonts w:cs="Arial"/>
                <w:szCs w:val="22"/>
              </w:rPr>
              <w:t xml:space="preserve"> might be </w:t>
            </w:r>
            <w:r w:rsidR="001D339D">
              <w:rPr>
                <w:rFonts w:cs="Arial"/>
                <w:szCs w:val="22"/>
              </w:rPr>
              <w:t>useful</w:t>
            </w:r>
          </w:p>
          <w:p w14:paraId="06665D95" w14:textId="41800D02" w:rsidR="005A2029" w:rsidRPr="006B094C" w:rsidRDefault="005A2029"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lastRenderedPageBreak/>
              <w:t>6</w:t>
            </w:r>
          </w:p>
        </w:tc>
        <w:tc>
          <w:tcPr>
            <w:tcW w:w="445" w:type="pct"/>
          </w:tcPr>
          <w:p w14:paraId="23061B43" w14:textId="3A62C855" w:rsidR="00062BAB" w:rsidRPr="006B094C" w:rsidRDefault="001D339D" w:rsidP="00533D9C">
            <w:pPr>
              <w:rPr>
                <w:rFonts w:cs="Arial"/>
                <w:szCs w:val="22"/>
              </w:rPr>
            </w:pPr>
            <w:r>
              <w:rPr>
                <w:rFonts w:cs="Arial"/>
                <w:szCs w:val="22"/>
              </w:rPr>
              <w:t xml:space="preserve">Guideline </w:t>
            </w:r>
          </w:p>
        </w:tc>
        <w:tc>
          <w:tcPr>
            <w:tcW w:w="349" w:type="pct"/>
          </w:tcPr>
          <w:p w14:paraId="3C50ABFC" w14:textId="3C03351F" w:rsidR="00062BAB" w:rsidRPr="006B094C" w:rsidRDefault="001D339D" w:rsidP="00533D9C">
            <w:pPr>
              <w:rPr>
                <w:rFonts w:cs="Arial"/>
                <w:szCs w:val="22"/>
              </w:rPr>
            </w:pPr>
            <w:r>
              <w:rPr>
                <w:rFonts w:cs="Arial"/>
                <w:szCs w:val="22"/>
              </w:rPr>
              <w:t>33</w:t>
            </w:r>
          </w:p>
        </w:tc>
        <w:tc>
          <w:tcPr>
            <w:tcW w:w="383" w:type="pct"/>
          </w:tcPr>
          <w:p w14:paraId="7DE2C9CB" w14:textId="0FC08492" w:rsidR="00062BAB" w:rsidRPr="006B094C" w:rsidRDefault="001D339D" w:rsidP="00533D9C">
            <w:pPr>
              <w:rPr>
                <w:rFonts w:cs="Arial"/>
                <w:szCs w:val="22"/>
              </w:rPr>
            </w:pPr>
            <w:r>
              <w:rPr>
                <w:rFonts w:cs="Arial"/>
                <w:szCs w:val="22"/>
              </w:rPr>
              <w:t>19</w:t>
            </w:r>
          </w:p>
        </w:tc>
        <w:tc>
          <w:tcPr>
            <w:tcW w:w="3360" w:type="pct"/>
          </w:tcPr>
          <w:p w14:paraId="13D8342E" w14:textId="43655D57" w:rsidR="00062BAB" w:rsidRDefault="001D339D" w:rsidP="00533D9C">
            <w:pPr>
              <w:rPr>
                <w:rFonts w:cs="Arial"/>
                <w:szCs w:val="22"/>
              </w:rPr>
            </w:pPr>
            <w:r>
              <w:rPr>
                <w:rFonts w:cs="Arial"/>
                <w:szCs w:val="22"/>
              </w:rPr>
              <w:t xml:space="preserve">There are no formal clinical supervision pathways in place for community pharmacy. A framework/model of how this might be achieved </w:t>
            </w:r>
            <w:r w:rsidR="005A2029">
              <w:rPr>
                <w:rFonts w:cs="Arial"/>
                <w:szCs w:val="22"/>
              </w:rPr>
              <w:t>would</w:t>
            </w:r>
            <w:r>
              <w:rPr>
                <w:rFonts w:cs="Arial"/>
                <w:szCs w:val="22"/>
              </w:rPr>
              <w:t xml:space="preserve"> be useful.</w:t>
            </w:r>
          </w:p>
          <w:p w14:paraId="00647C7E" w14:textId="0CBEEEB4" w:rsidR="005A2029" w:rsidRPr="006B094C" w:rsidRDefault="005A2029"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22BAACE5" w:rsidR="00A4033C" w:rsidRDefault="00A4033C" w:rsidP="00661D47">
      <w:pPr>
        <w:rPr>
          <w:sz w:val="16"/>
          <w:szCs w:val="16"/>
        </w:rPr>
      </w:pPr>
    </w:p>
    <w:p w14:paraId="6E87A24F" w14:textId="77777777" w:rsidR="005A2029" w:rsidRDefault="005A2029" w:rsidP="00661D47">
      <w:pPr>
        <w:rPr>
          <w:sz w:val="16"/>
          <w:szCs w:val="16"/>
        </w:rPr>
      </w:pPr>
    </w:p>
    <w:p w14:paraId="583ED578" w14:textId="69E87CF2"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5"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6"/>
      <w:footerReference w:type="default" r:id="rId17"/>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4B553" w14:textId="77777777" w:rsidR="004864D7" w:rsidRDefault="004864D7">
      <w:r>
        <w:separator/>
      </w:r>
    </w:p>
  </w:endnote>
  <w:endnote w:type="continuationSeparator" w:id="0">
    <w:p w14:paraId="781863C2" w14:textId="77777777" w:rsidR="004864D7" w:rsidRDefault="004864D7">
      <w:r>
        <w:continuationSeparator/>
      </w:r>
    </w:p>
  </w:endnote>
  <w:endnote w:type="continuationNotice" w:id="1">
    <w:p w14:paraId="5DF9E7AF" w14:textId="77777777" w:rsidR="004864D7" w:rsidRDefault="00486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424526C2" w:rsidR="00EE6C88" w:rsidRDefault="00EE6C88" w:rsidP="00EE6C88">
    <w:pPr>
      <w:rPr>
        <w:b/>
      </w:rPr>
    </w:pPr>
    <w:r>
      <w:rPr>
        <w:szCs w:val="22"/>
      </w:rPr>
      <w:t>Please return to:</w:t>
    </w:r>
    <w:r w:rsidR="00D062E4">
      <w:t xml:space="preserve"> </w:t>
    </w:r>
    <w:r w:rsidR="00044841">
      <w:t>selfharm</w:t>
    </w:r>
    <w:r w:rsidR="00886015">
      <w:t>@nice.org.uk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D6387" w14:textId="77777777" w:rsidR="004864D7" w:rsidRDefault="004864D7">
      <w:r>
        <w:separator/>
      </w:r>
    </w:p>
  </w:footnote>
  <w:footnote w:type="continuationSeparator" w:id="0">
    <w:p w14:paraId="11FBB825" w14:textId="77777777" w:rsidR="004864D7" w:rsidRDefault="004864D7">
      <w:r>
        <w:continuationSeparator/>
      </w:r>
    </w:p>
  </w:footnote>
  <w:footnote w:type="continuationNotice" w:id="1">
    <w:p w14:paraId="6496DA7F" w14:textId="77777777" w:rsidR="004864D7" w:rsidRDefault="004864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28F5086C"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proofErr w:type="spellStart"/>
    <w:r w:rsidR="00044841">
      <w:t>Self harm</w:t>
    </w:r>
    <w:proofErr w:type="spellEnd"/>
    <w:r w:rsidR="00044841">
      <w:t>: assessment, management and preventing recurrence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41F72445"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044841">
      <w:t xml:space="preserve"> 5pm</w:t>
    </w:r>
    <w:r w:rsidR="004C7583">
      <w:t xml:space="preserve"> on</w:t>
    </w:r>
    <w:r w:rsidR="00044841">
      <w:t xml:space="preserve"> 1 March 2022</w:t>
    </w:r>
    <w:r w:rsidR="000328D5">
      <w:tab/>
    </w:r>
    <w:r w:rsidR="000328D5">
      <w:tab/>
    </w:r>
    <w:r w:rsidR="00886015">
      <w:tab/>
    </w:r>
    <w:r w:rsidR="00886015">
      <w:tab/>
    </w:r>
    <w:r w:rsidR="007334BB" w:rsidRPr="00F506DC">
      <w:rPr>
        <w:bCs w:val="0"/>
      </w:rPr>
      <w:t>email:</w:t>
    </w:r>
    <w:r w:rsidR="007334BB" w:rsidRPr="00F506DC">
      <w:rPr>
        <w:b w:val="0"/>
        <w:bCs w:val="0"/>
      </w:rPr>
      <w:t xml:space="preserve"> </w:t>
    </w:r>
    <w:r w:rsidR="00044841">
      <w:rPr>
        <w:b w:val="0"/>
        <w:bCs w:val="0"/>
      </w:rPr>
      <w:t>selfharm</w:t>
    </w:r>
    <w:r w:rsidR="00886015" w:rsidRPr="00044841">
      <w:rPr>
        <w:b w:val="0"/>
        <w:bCs w:val="0"/>
      </w:rPr>
      <w:t>@nice.org.uk</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28D5"/>
    <w:rsid w:val="000342F2"/>
    <w:rsid w:val="00044841"/>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2C55"/>
    <w:rsid w:val="00107280"/>
    <w:rsid w:val="001074E7"/>
    <w:rsid w:val="0011091D"/>
    <w:rsid w:val="00121D06"/>
    <w:rsid w:val="0013151B"/>
    <w:rsid w:val="00132B3B"/>
    <w:rsid w:val="00140DE9"/>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339D"/>
    <w:rsid w:val="001D6BCA"/>
    <w:rsid w:val="001E1D2C"/>
    <w:rsid w:val="001E3B02"/>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D59F8"/>
    <w:rsid w:val="002E7FE1"/>
    <w:rsid w:val="002F342B"/>
    <w:rsid w:val="00300024"/>
    <w:rsid w:val="00300F0E"/>
    <w:rsid w:val="00310C57"/>
    <w:rsid w:val="003174B2"/>
    <w:rsid w:val="0032029A"/>
    <w:rsid w:val="00321DA6"/>
    <w:rsid w:val="00321FBA"/>
    <w:rsid w:val="00325106"/>
    <w:rsid w:val="00330112"/>
    <w:rsid w:val="00332324"/>
    <w:rsid w:val="0034087C"/>
    <w:rsid w:val="00341C5B"/>
    <w:rsid w:val="00341C5F"/>
    <w:rsid w:val="00342A8C"/>
    <w:rsid w:val="00344D98"/>
    <w:rsid w:val="00361105"/>
    <w:rsid w:val="00373C43"/>
    <w:rsid w:val="00376811"/>
    <w:rsid w:val="00386C8D"/>
    <w:rsid w:val="0039057E"/>
    <w:rsid w:val="00392C6A"/>
    <w:rsid w:val="0039445B"/>
    <w:rsid w:val="00396BDE"/>
    <w:rsid w:val="003A421D"/>
    <w:rsid w:val="003A5985"/>
    <w:rsid w:val="003A74B8"/>
    <w:rsid w:val="003B324A"/>
    <w:rsid w:val="003C0F3D"/>
    <w:rsid w:val="003D4C22"/>
    <w:rsid w:val="003E30E5"/>
    <w:rsid w:val="003E5C68"/>
    <w:rsid w:val="003E65CD"/>
    <w:rsid w:val="003F05AC"/>
    <w:rsid w:val="003F6C97"/>
    <w:rsid w:val="003F71DC"/>
    <w:rsid w:val="004129F9"/>
    <w:rsid w:val="004210CD"/>
    <w:rsid w:val="004265DE"/>
    <w:rsid w:val="004302A7"/>
    <w:rsid w:val="00437587"/>
    <w:rsid w:val="00443A18"/>
    <w:rsid w:val="00451001"/>
    <w:rsid w:val="00451953"/>
    <w:rsid w:val="00451B16"/>
    <w:rsid w:val="00453EEC"/>
    <w:rsid w:val="00457F3F"/>
    <w:rsid w:val="00460339"/>
    <w:rsid w:val="00461B83"/>
    <w:rsid w:val="0046549C"/>
    <w:rsid w:val="00465545"/>
    <w:rsid w:val="004864D7"/>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2029"/>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B6EDE"/>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C5B7A"/>
    <w:rsid w:val="007D5358"/>
    <w:rsid w:val="007E0074"/>
    <w:rsid w:val="007E1DD9"/>
    <w:rsid w:val="007E22AC"/>
    <w:rsid w:val="007E258B"/>
    <w:rsid w:val="0080264A"/>
    <w:rsid w:val="008039AA"/>
    <w:rsid w:val="0080710A"/>
    <w:rsid w:val="00810A2E"/>
    <w:rsid w:val="00812077"/>
    <w:rsid w:val="00816D54"/>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053D0"/>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982"/>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2392C"/>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57EF0"/>
    <w:rsid w:val="00D63D97"/>
    <w:rsid w:val="00D64CD4"/>
    <w:rsid w:val="00D6756D"/>
    <w:rsid w:val="00D731F4"/>
    <w:rsid w:val="00D8029C"/>
    <w:rsid w:val="00D87756"/>
    <w:rsid w:val="00D93033"/>
    <w:rsid w:val="00D937BE"/>
    <w:rsid w:val="00DB1C72"/>
    <w:rsid w:val="00DB6AB5"/>
    <w:rsid w:val="00DC47AF"/>
    <w:rsid w:val="00DE25FF"/>
    <w:rsid w:val="00DE50FC"/>
    <w:rsid w:val="00DF19EC"/>
    <w:rsid w:val="00DF7373"/>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16354"/>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3" Type="http://schemas.openxmlformats.org/officeDocument/2006/relationships/hyperlink" Target="https://www.hee.nhs.uk/sites/default/files/documents/Pharmacy%20Framework%20202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science/article/pii/B9780128193785000064?via%3Dihu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11/CP.2019.20206034" TargetMode="External"/><Relationship Id="rId5" Type="http://schemas.openxmlformats.org/officeDocument/2006/relationships/webSettings" Target="webSettings.xml"/><Relationship Id="rId15" Type="http://schemas.openxmlformats.org/officeDocument/2006/relationships/hyperlink" Target="https://www.nice.org.uk/privacy-notice" TargetMode="External"/><Relationship Id="rId10" Type="http://schemas.openxmlformats.org/officeDocument/2006/relationships/hyperlink" Target="http://www.nice.org.uk/process/pmg22/chapter/how-you-can-get-involve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hyperlink" Target="https://www.nice.org.uk/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7264</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Heidi Wright</cp:lastModifiedBy>
  <cp:revision>2</cp:revision>
  <cp:lastPrinted>2005-11-01T09:30:00Z</cp:lastPrinted>
  <dcterms:created xsi:type="dcterms:W3CDTF">2022-02-23T12:32:00Z</dcterms:created>
  <dcterms:modified xsi:type="dcterms:W3CDTF">2022-02-23T12:32:00Z</dcterms:modified>
</cp:coreProperties>
</file>