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177E1EDB" w14:textId="77777777" w:rsidTr="6F912E95">
        <w:trPr>
          <w:cantSplit/>
        </w:trPr>
        <w:tc>
          <w:tcPr>
            <w:tcW w:w="847" w:type="pct"/>
            <w:gridSpan w:val="2"/>
            <w:shd w:val="clear" w:color="auto" w:fill="FFFFFF" w:themeFill="background1"/>
          </w:tcPr>
          <w:p w14:paraId="52CBB248" w14:textId="77777777" w:rsidR="000342F2" w:rsidRPr="00810A2E" w:rsidRDefault="000342F2" w:rsidP="00437587">
            <w:pPr>
              <w:rPr>
                <w:rFonts w:cs="Arial"/>
                <w:b/>
                <w:szCs w:val="22"/>
              </w:rPr>
            </w:pPr>
          </w:p>
        </w:tc>
        <w:tc>
          <w:tcPr>
            <w:tcW w:w="4153" w:type="pct"/>
            <w:gridSpan w:val="3"/>
            <w:shd w:val="clear" w:color="auto" w:fill="FFFFFF" w:themeFill="background1"/>
          </w:tcPr>
          <w:p w14:paraId="6B83515D"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27D55B7E"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3F23AA3E"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5646F293" w14:textId="2FC71A53"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r w:rsidR="002D44C8">
              <w:rPr>
                <w:rFonts w:cs="Arial"/>
                <w:bCs/>
              </w:rPr>
              <w:t xml:space="preserve"> </w:t>
            </w:r>
          </w:p>
          <w:p w14:paraId="7AD4DA60"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52CA8112" w14:textId="10F1C42A"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156AE705" w14:textId="281C116F" w:rsidR="008A35D9" w:rsidRDefault="008A35D9" w:rsidP="008A35D9">
            <w:pPr>
              <w:pStyle w:val="Paragraphnonumbers"/>
              <w:numPr>
                <w:ilvl w:val="0"/>
                <w:numId w:val="7"/>
              </w:numPr>
              <w:spacing w:after="0"/>
            </w:pPr>
            <w:r>
              <w:t xml:space="preserve">The recommendations in this guideline were </w:t>
            </w:r>
            <w:r w:rsidR="002D44C8">
              <w:t xml:space="preserve">largely </w:t>
            </w:r>
            <w:r>
              <w:t xml:space="preserve">developed before the coronavirus pandemic. Please tell us if there are any </w:t>
            </w:r>
            <w:proofErr w:type="gramStart"/>
            <w:r>
              <w:t>particular issues</w:t>
            </w:r>
            <w:proofErr w:type="gramEnd"/>
            <w:r>
              <w:t xml:space="preserve"> relating to COVID-19 that we should take into account when finalising the guideline for publication.</w:t>
            </w:r>
          </w:p>
          <w:p w14:paraId="016EECC6"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w:t>
            </w:r>
            <w:hyperlink r:id="rId8" w:history="1">
              <w:hyperlink r:id="rId9" w:history="1">
                <w:r w:rsidRPr="00BB4625">
                  <w:rPr>
                    <w:rStyle w:val="Hyperlink"/>
                    <w:sz w:val="24"/>
                    <w:szCs w:val="24"/>
                  </w:rPr>
                  <w:t>Developing NICE guidance: how to get involved</w:t>
                </w:r>
              </w:hyperlink>
            </w:hyperlink>
            <w:r>
              <w:rPr>
                <w:sz w:val="24"/>
                <w:szCs w:val="24"/>
              </w:rPr>
              <w:t xml:space="preserve"> for suggestions of general points to think about when commenting</w:t>
            </w:r>
            <w:r w:rsidR="00857205">
              <w:rPr>
                <w:sz w:val="24"/>
                <w:szCs w:val="24"/>
              </w:rPr>
              <w:t>.</w:t>
            </w:r>
          </w:p>
        </w:tc>
      </w:tr>
      <w:tr w:rsidR="000342F2" w:rsidRPr="00810A2E" w14:paraId="6134AA25" w14:textId="77777777" w:rsidTr="6F912E95">
        <w:trPr>
          <w:cantSplit/>
        </w:trPr>
        <w:tc>
          <w:tcPr>
            <w:tcW w:w="859" w:type="pct"/>
            <w:gridSpan w:val="2"/>
            <w:shd w:val="clear" w:color="auto" w:fill="FFFFFF" w:themeFill="background1"/>
          </w:tcPr>
          <w:p w14:paraId="5C727081"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hemeFill="background1"/>
          </w:tcPr>
          <w:p w14:paraId="2D52EC01" w14:textId="6937964B" w:rsidR="000342F2" w:rsidRPr="00810A2E" w:rsidRDefault="6F912E95" w:rsidP="6F912E95">
            <w:pPr>
              <w:spacing w:before="240"/>
              <w:rPr>
                <w:rFonts w:cs="Arial"/>
              </w:rPr>
            </w:pPr>
            <w:r w:rsidRPr="6F912E95">
              <w:rPr>
                <w:rFonts w:cs="Arial"/>
              </w:rPr>
              <w:t>Royal Pharmaceutical Society</w:t>
            </w:r>
          </w:p>
        </w:tc>
      </w:tr>
      <w:tr w:rsidR="00D36D76" w:rsidRPr="00810A2E" w14:paraId="0C7764B2" w14:textId="77777777" w:rsidTr="6F912E95">
        <w:trPr>
          <w:cantSplit/>
        </w:trPr>
        <w:tc>
          <w:tcPr>
            <w:tcW w:w="859" w:type="pct"/>
            <w:gridSpan w:val="2"/>
            <w:shd w:val="clear" w:color="auto" w:fill="FFFFFF" w:themeFill="background1"/>
          </w:tcPr>
          <w:p w14:paraId="3C7027BB" w14:textId="77777777" w:rsidR="00D36D76" w:rsidRPr="00D36D76" w:rsidRDefault="00D36D76" w:rsidP="00D36D76">
            <w:pPr>
              <w:pStyle w:val="BodyText"/>
              <w:rPr>
                <w:rFonts w:cs="Arial"/>
                <w:szCs w:val="22"/>
              </w:rPr>
            </w:pPr>
            <w:r w:rsidRPr="00D36D76">
              <w:rPr>
                <w:rFonts w:cs="Arial"/>
                <w:szCs w:val="22"/>
              </w:rPr>
              <w:lastRenderedPageBreak/>
              <w:t>Disclosure</w:t>
            </w:r>
          </w:p>
          <w:p w14:paraId="35B1060E" w14:textId="77777777" w:rsidR="00D36D76" w:rsidRDefault="00D36D76" w:rsidP="00D36D76">
            <w:pPr>
              <w:pStyle w:val="BodyText"/>
              <w:rPr>
                <w:rFonts w:cs="Arial"/>
                <w:b w:val="0"/>
                <w:szCs w:val="22"/>
              </w:rPr>
            </w:pPr>
            <w:r w:rsidRPr="00C979F9">
              <w:rPr>
                <w:rFonts w:cs="Arial"/>
                <w:b w:val="0"/>
                <w:szCs w:val="22"/>
              </w:rPr>
              <w:t xml:space="preserve">Please disclose any past or current, </w:t>
            </w:r>
            <w:proofErr w:type="gramStart"/>
            <w:r w:rsidRPr="00C979F9">
              <w:rPr>
                <w:rFonts w:cs="Arial"/>
                <w:b w:val="0"/>
                <w:szCs w:val="22"/>
              </w:rPr>
              <w:t>direct</w:t>
            </w:r>
            <w:proofErr w:type="gramEnd"/>
            <w:r w:rsidRPr="00C979F9">
              <w:rPr>
                <w:rFonts w:cs="Arial"/>
                <w:b w:val="0"/>
                <w:szCs w:val="22"/>
              </w:rPr>
              <w:t xml:space="preserve"> or indirect links to, or funding from, the tobacco industry.</w:t>
            </w:r>
          </w:p>
          <w:p w14:paraId="634207BF" w14:textId="77777777" w:rsidR="0054572C" w:rsidRPr="00C979F9" w:rsidRDefault="0054572C" w:rsidP="00D36D76">
            <w:pPr>
              <w:pStyle w:val="BodyText"/>
              <w:rPr>
                <w:rFonts w:cs="Arial"/>
                <w:b w:val="0"/>
                <w:szCs w:val="22"/>
              </w:rPr>
            </w:pPr>
          </w:p>
        </w:tc>
        <w:tc>
          <w:tcPr>
            <w:tcW w:w="4141" w:type="pct"/>
            <w:gridSpan w:val="3"/>
            <w:shd w:val="clear" w:color="auto" w:fill="FFFFFF" w:themeFill="background1"/>
          </w:tcPr>
          <w:p w14:paraId="77302138" w14:textId="2D280870" w:rsidR="00D36D76" w:rsidRPr="00810A2E" w:rsidRDefault="00D36D76" w:rsidP="6F912E95">
            <w:pPr>
              <w:spacing w:before="240"/>
              <w:rPr>
                <w:rFonts w:cs="Arial"/>
              </w:rPr>
            </w:pPr>
          </w:p>
        </w:tc>
      </w:tr>
      <w:tr w:rsidR="000342F2" w:rsidRPr="00810A2E" w14:paraId="0739EBB3" w14:textId="77777777" w:rsidTr="6F912E95">
        <w:trPr>
          <w:cantSplit/>
        </w:trPr>
        <w:tc>
          <w:tcPr>
            <w:tcW w:w="859" w:type="pct"/>
            <w:gridSpan w:val="2"/>
            <w:tcBorders>
              <w:bottom w:val="single" w:sz="6" w:space="0" w:color="auto"/>
            </w:tcBorders>
            <w:shd w:val="clear" w:color="auto" w:fill="FFFFFF" w:themeFill="background1"/>
          </w:tcPr>
          <w:p w14:paraId="5B5EC42C"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hemeFill="background1"/>
          </w:tcPr>
          <w:p w14:paraId="5D98BF13" w14:textId="77777777" w:rsidR="000342F2" w:rsidRPr="00810A2E" w:rsidRDefault="000342F2" w:rsidP="00DB6AB5">
            <w:pPr>
              <w:rPr>
                <w:rFonts w:cs="Arial"/>
                <w:szCs w:val="22"/>
              </w:rPr>
            </w:pPr>
          </w:p>
          <w:p w14:paraId="47E715BE" w14:textId="36F316AC" w:rsidR="00A201B2" w:rsidRPr="00810A2E" w:rsidRDefault="6F912E95" w:rsidP="6F912E95">
            <w:pPr>
              <w:rPr>
                <w:rFonts w:cs="Arial"/>
              </w:rPr>
            </w:pPr>
            <w:r w:rsidRPr="6F912E95">
              <w:rPr>
                <w:rFonts w:cs="Arial"/>
              </w:rPr>
              <w:t>Heidi Wright</w:t>
            </w:r>
          </w:p>
        </w:tc>
      </w:tr>
      <w:tr w:rsidR="004E513A" w:rsidRPr="00810A2E" w14:paraId="31C5C0EB" w14:textId="77777777" w:rsidTr="6F912E95">
        <w:trPr>
          <w:cantSplit/>
        </w:trPr>
        <w:tc>
          <w:tcPr>
            <w:tcW w:w="859" w:type="pct"/>
            <w:gridSpan w:val="2"/>
            <w:tcBorders>
              <w:bottom w:val="single" w:sz="6" w:space="0" w:color="auto"/>
            </w:tcBorders>
            <w:shd w:val="clear" w:color="auto" w:fill="FFFFFF" w:themeFill="background1"/>
          </w:tcPr>
          <w:p w14:paraId="5413E50D"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hemeFill="background1"/>
          </w:tcPr>
          <w:p w14:paraId="1A471850" w14:textId="77777777" w:rsidR="00E911D0" w:rsidRDefault="00B83648" w:rsidP="00DB6AB5">
            <w:pPr>
              <w:rPr>
                <w:rFonts w:cs="Arial"/>
                <w:szCs w:val="22"/>
              </w:rPr>
            </w:pPr>
            <w:r>
              <w:rPr>
                <w:rFonts w:cs="Arial"/>
                <w:szCs w:val="22"/>
              </w:rPr>
              <w:t>[office use only]</w:t>
            </w:r>
          </w:p>
          <w:p w14:paraId="347C80D1" w14:textId="77777777" w:rsidR="00E911D0" w:rsidRDefault="00E911D0" w:rsidP="00DB6AB5">
            <w:pPr>
              <w:rPr>
                <w:rFonts w:cs="Arial"/>
                <w:szCs w:val="22"/>
              </w:rPr>
            </w:pPr>
          </w:p>
          <w:p w14:paraId="27669DE8" w14:textId="77777777" w:rsidR="00E911D0" w:rsidRDefault="00E911D0" w:rsidP="00DB6AB5">
            <w:pPr>
              <w:rPr>
                <w:rFonts w:cs="Arial"/>
                <w:szCs w:val="22"/>
              </w:rPr>
            </w:pPr>
          </w:p>
          <w:p w14:paraId="26C487CD" w14:textId="77777777" w:rsidR="00E911D0" w:rsidRDefault="00E911D0" w:rsidP="00DB6AB5">
            <w:pPr>
              <w:rPr>
                <w:rFonts w:cs="Arial"/>
                <w:szCs w:val="22"/>
              </w:rPr>
            </w:pPr>
          </w:p>
          <w:p w14:paraId="5C9A97FE" w14:textId="77777777" w:rsidR="00E911D0" w:rsidRPr="00810A2E" w:rsidRDefault="00E911D0" w:rsidP="00DB6AB5">
            <w:pPr>
              <w:rPr>
                <w:rFonts w:cs="Arial"/>
                <w:szCs w:val="22"/>
              </w:rPr>
            </w:pPr>
          </w:p>
        </w:tc>
      </w:tr>
      <w:tr w:rsidR="007E0074" w:rsidRPr="00810A2E" w14:paraId="3C683DBD" w14:textId="77777777" w:rsidTr="6F912E95">
        <w:tc>
          <w:tcPr>
            <w:tcW w:w="397" w:type="pct"/>
            <w:tcBorders>
              <w:top w:val="single" w:sz="6" w:space="0" w:color="auto"/>
              <w:bottom w:val="single" w:sz="6" w:space="0" w:color="auto"/>
            </w:tcBorders>
            <w:shd w:val="clear" w:color="auto" w:fill="E6E6E6"/>
          </w:tcPr>
          <w:p w14:paraId="0A86C274"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6EDE8FC4"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6B3E31CF" w14:textId="77777777" w:rsidR="007E0074" w:rsidRPr="006F679F" w:rsidRDefault="007E0074" w:rsidP="00DB6AB5">
            <w:pPr>
              <w:jc w:val="center"/>
              <w:rPr>
                <w:rFonts w:cs="Arial"/>
                <w:szCs w:val="22"/>
              </w:rPr>
            </w:pPr>
            <w:r w:rsidRPr="006F679F">
              <w:rPr>
                <w:rFonts w:cs="Arial"/>
                <w:b/>
                <w:szCs w:val="22"/>
              </w:rPr>
              <w:t>Document</w:t>
            </w:r>
          </w:p>
          <w:p w14:paraId="4C09C9B6"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2E8C1A2B" w14:textId="77777777" w:rsidR="007E0074" w:rsidRPr="007E0074" w:rsidRDefault="007E0074" w:rsidP="000342F2">
            <w:pPr>
              <w:pStyle w:val="BodyText"/>
              <w:jc w:val="center"/>
              <w:rPr>
                <w:rFonts w:cs="Arial"/>
              </w:rPr>
            </w:pPr>
            <w:r w:rsidRPr="007E0074">
              <w:rPr>
                <w:rFonts w:cs="Arial"/>
              </w:rPr>
              <w:t>Page number</w:t>
            </w:r>
          </w:p>
          <w:p w14:paraId="4FD4AF4C" w14:textId="77777777" w:rsidR="007E0074" w:rsidRPr="007E0074" w:rsidRDefault="00246154" w:rsidP="001C6FA8">
            <w:pPr>
              <w:jc w:val="center"/>
              <w:rPr>
                <w:rFonts w:cs="Arial"/>
              </w:rPr>
            </w:pPr>
            <w:proofErr w:type="gramStart"/>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w:t>
            </w:r>
            <w:proofErr w:type="gramEnd"/>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2D55E1FC" w14:textId="77777777" w:rsidR="007E0074" w:rsidRPr="007E0074" w:rsidRDefault="007E0074" w:rsidP="00AE45DA">
            <w:pPr>
              <w:pStyle w:val="BodyText"/>
              <w:jc w:val="center"/>
              <w:rPr>
                <w:rFonts w:cs="Arial"/>
              </w:rPr>
            </w:pPr>
            <w:r w:rsidRPr="007E0074">
              <w:rPr>
                <w:rFonts w:cs="Arial"/>
              </w:rPr>
              <w:t>Line number</w:t>
            </w:r>
          </w:p>
          <w:p w14:paraId="52CB3F30" w14:textId="77777777" w:rsidR="007E0074" w:rsidRPr="007E0074" w:rsidRDefault="00B81DC8" w:rsidP="001C6FA8">
            <w:pPr>
              <w:jc w:val="center"/>
              <w:rPr>
                <w:rFonts w:cs="Arial"/>
              </w:rPr>
            </w:pPr>
            <w:proofErr w:type="gramStart"/>
            <w:r>
              <w:rPr>
                <w:rFonts w:cs="Arial"/>
                <w:sz w:val="16"/>
                <w:szCs w:val="16"/>
              </w:rPr>
              <w:t xml:space="preserve">Or </w:t>
            </w:r>
            <w:r w:rsidRPr="006F679F">
              <w:rPr>
                <w:rFonts w:cs="Arial"/>
                <w:sz w:val="16"/>
                <w:szCs w:val="16"/>
              </w:rPr>
              <w:t xml:space="preserve"> </w:t>
            </w:r>
            <w:r w:rsidRPr="006F679F">
              <w:rPr>
                <w:rFonts w:cs="Arial"/>
                <w:b/>
                <w:sz w:val="16"/>
                <w:szCs w:val="16"/>
                <w:u w:val="single"/>
              </w:rPr>
              <w:t>‘</w:t>
            </w:r>
            <w:proofErr w:type="gramEnd"/>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5A43E895" w14:textId="77777777" w:rsidR="007E0074" w:rsidRPr="007E0074" w:rsidRDefault="007E0074" w:rsidP="00DB6AB5">
            <w:pPr>
              <w:pStyle w:val="Heading1"/>
              <w:jc w:val="center"/>
              <w:rPr>
                <w:rFonts w:cs="Arial"/>
                <w:sz w:val="32"/>
              </w:rPr>
            </w:pPr>
            <w:r w:rsidRPr="007E0074">
              <w:rPr>
                <w:rFonts w:cs="Arial"/>
                <w:sz w:val="32"/>
              </w:rPr>
              <w:t>Comments</w:t>
            </w:r>
          </w:p>
          <w:p w14:paraId="7A3E754A" w14:textId="77777777" w:rsidR="007E0074" w:rsidRPr="007E0074" w:rsidRDefault="007E0074" w:rsidP="00DB6AB5">
            <w:pPr>
              <w:rPr>
                <w:rFonts w:cs="Arial"/>
                <w:sz w:val="32"/>
              </w:rPr>
            </w:pPr>
          </w:p>
          <w:p w14:paraId="49269DEE"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69858BA6"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434B577D" w14:textId="77777777" w:rsidR="007E0074" w:rsidRPr="007E0074" w:rsidRDefault="007E0074" w:rsidP="00DB6AB5">
            <w:pPr>
              <w:jc w:val="center"/>
              <w:rPr>
                <w:rFonts w:cs="Arial"/>
                <w:b/>
              </w:rPr>
            </w:pPr>
          </w:p>
        </w:tc>
      </w:tr>
      <w:tr w:rsidR="007E0074" w:rsidRPr="00810A2E" w14:paraId="0E6D84CB" w14:textId="77777777" w:rsidTr="6F912E95">
        <w:tc>
          <w:tcPr>
            <w:tcW w:w="397" w:type="pct"/>
            <w:tcBorders>
              <w:top w:val="single" w:sz="6" w:space="0" w:color="auto"/>
            </w:tcBorders>
          </w:tcPr>
          <w:p w14:paraId="560F73C1" w14:textId="1B194D33" w:rsidR="00670FDB" w:rsidRPr="00810A2E" w:rsidRDefault="00670FDB" w:rsidP="00F90F1E">
            <w:pPr>
              <w:jc w:val="center"/>
              <w:rPr>
                <w:rFonts w:cs="Arial"/>
                <w:color w:val="FF0000"/>
                <w:sz w:val="20"/>
              </w:rPr>
            </w:pPr>
          </w:p>
        </w:tc>
        <w:tc>
          <w:tcPr>
            <w:tcW w:w="462" w:type="pct"/>
            <w:tcBorders>
              <w:top w:val="single" w:sz="6" w:space="0" w:color="auto"/>
            </w:tcBorders>
          </w:tcPr>
          <w:p w14:paraId="79F462A1" w14:textId="52762FEC" w:rsidR="00C060A1" w:rsidRPr="00810A2E" w:rsidRDefault="00C060A1" w:rsidP="00F90F1E">
            <w:pPr>
              <w:jc w:val="center"/>
              <w:rPr>
                <w:rFonts w:cs="Arial"/>
                <w:color w:val="FF0000"/>
                <w:sz w:val="20"/>
              </w:rPr>
            </w:pPr>
          </w:p>
        </w:tc>
        <w:tc>
          <w:tcPr>
            <w:tcW w:w="366" w:type="pct"/>
            <w:tcBorders>
              <w:top w:val="single" w:sz="6" w:space="0" w:color="auto"/>
            </w:tcBorders>
          </w:tcPr>
          <w:p w14:paraId="188A0601" w14:textId="362C0986" w:rsidR="00AC196D" w:rsidRPr="00810A2E" w:rsidRDefault="00AC196D" w:rsidP="00CB1334">
            <w:pPr>
              <w:jc w:val="center"/>
              <w:rPr>
                <w:rFonts w:cs="Arial"/>
                <w:color w:val="FF0000"/>
                <w:sz w:val="20"/>
              </w:rPr>
            </w:pPr>
          </w:p>
        </w:tc>
        <w:tc>
          <w:tcPr>
            <w:tcW w:w="400" w:type="pct"/>
            <w:tcBorders>
              <w:top w:val="single" w:sz="6" w:space="0" w:color="auto"/>
            </w:tcBorders>
          </w:tcPr>
          <w:p w14:paraId="55B19EC0" w14:textId="63BF1F99" w:rsidR="00AC196D" w:rsidRPr="00810A2E" w:rsidRDefault="00AC196D" w:rsidP="00CB1334">
            <w:pPr>
              <w:jc w:val="center"/>
              <w:rPr>
                <w:rFonts w:cs="Arial"/>
                <w:color w:val="FF0000"/>
                <w:sz w:val="20"/>
              </w:rPr>
            </w:pPr>
          </w:p>
        </w:tc>
        <w:tc>
          <w:tcPr>
            <w:tcW w:w="3376" w:type="pct"/>
            <w:tcBorders>
              <w:top w:val="single" w:sz="6" w:space="0" w:color="auto"/>
            </w:tcBorders>
          </w:tcPr>
          <w:p w14:paraId="41B3165B" w14:textId="013B8738" w:rsidR="006846E7" w:rsidRPr="00810A2E" w:rsidRDefault="006846E7" w:rsidP="00DB6AB5">
            <w:pPr>
              <w:rPr>
                <w:rFonts w:cs="Arial"/>
                <w:color w:val="FF0000"/>
                <w:sz w:val="20"/>
              </w:rPr>
            </w:pPr>
          </w:p>
        </w:tc>
      </w:tr>
      <w:tr w:rsidR="007E0074" w:rsidRPr="00810A2E" w14:paraId="2092DCF8" w14:textId="77777777" w:rsidTr="6F912E95">
        <w:tc>
          <w:tcPr>
            <w:tcW w:w="397" w:type="pct"/>
            <w:tcBorders>
              <w:top w:val="single" w:sz="6" w:space="0" w:color="auto"/>
              <w:bottom w:val="single" w:sz="6" w:space="0" w:color="auto"/>
            </w:tcBorders>
          </w:tcPr>
          <w:p w14:paraId="1A8C0A28" w14:textId="77777777" w:rsidR="007E0074" w:rsidRPr="00810A2E" w:rsidRDefault="007E0074" w:rsidP="00DB6AB5">
            <w:pPr>
              <w:jc w:val="center"/>
              <w:rPr>
                <w:rFonts w:cs="Arial"/>
                <w:sz w:val="20"/>
              </w:rPr>
            </w:pPr>
            <w:r w:rsidRPr="00810A2E">
              <w:rPr>
                <w:rFonts w:cs="Arial"/>
                <w:sz w:val="20"/>
              </w:rPr>
              <w:t>1</w:t>
            </w:r>
          </w:p>
        </w:tc>
        <w:tc>
          <w:tcPr>
            <w:tcW w:w="462" w:type="pct"/>
            <w:tcBorders>
              <w:top w:val="single" w:sz="6" w:space="0" w:color="auto"/>
              <w:bottom w:val="single" w:sz="6" w:space="0" w:color="auto"/>
            </w:tcBorders>
          </w:tcPr>
          <w:p w14:paraId="096E7308" w14:textId="1D7D141D" w:rsidR="007E0074" w:rsidRPr="00810A2E" w:rsidRDefault="00E31651" w:rsidP="00DB6AB5">
            <w:pPr>
              <w:rPr>
                <w:rFonts w:cs="Arial"/>
                <w:sz w:val="20"/>
              </w:rPr>
            </w:pPr>
            <w:r>
              <w:rPr>
                <w:rFonts w:cs="Arial"/>
                <w:sz w:val="20"/>
              </w:rPr>
              <w:t>Guideline</w:t>
            </w:r>
          </w:p>
        </w:tc>
        <w:tc>
          <w:tcPr>
            <w:tcW w:w="366" w:type="pct"/>
            <w:tcBorders>
              <w:top w:val="single" w:sz="6" w:space="0" w:color="auto"/>
              <w:bottom w:val="single" w:sz="6" w:space="0" w:color="auto"/>
            </w:tcBorders>
          </w:tcPr>
          <w:p w14:paraId="6D3FACDB" w14:textId="6279612B" w:rsidR="007E0074" w:rsidRPr="00810A2E" w:rsidRDefault="00E31651" w:rsidP="00DB6AB5">
            <w:pPr>
              <w:rPr>
                <w:rFonts w:cs="Arial"/>
                <w:sz w:val="20"/>
              </w:rPr>
            </w:pPr>
            <w:r>
              <w:rPr>
                <w:rFonts w:cs="Arial"/>
                <w:sz w:val="20"/>
              </w:rPr>
              <w:t>7</w:t>
            </w:r>
          </w:p>
        </w:tc>
        <w:tc>
          <w:tcPr>
            <w:tcW w:w="400" w:type="pct"/>
            <w:tcBorders>
              <w:top w:val="single" w:sz="6" w:space="0" w:color="auto"/>
              <w:bottom w:val="single" w:sz="6" w:space="0" w:color="auto"/>
            </w:tcBorders>
          </w:tcPr>
          <w:p w14:paraId="3ED73B2E" w14:textId="06F1155C" w:rsidR="007E0074" w:rsidRPr="00810A2E" w:rsidRDefault="00E31651" w:rsidP="00DB6AB5">
            <w:pPr>
              <w:rPr>
                <w:rFonts w:cs="Arial"/>
                <w:sz w:val="20"/>
              </w:rPr>
            </w:pPr>
            <w:r>
              <w:rPr>
                <w:rFonts w:cs="Arial"/>
                <w:sz w:val="20"/>
              </w:rPr>
              <w:t>12-14</w:t>
            </w:r>
          </w:p>
        </w:tc>
        <w:tc>
          <w:tcPr>
            <w:tcW w:w="3376" w:type="pct"/>
            <w:tcBorders>
              <w:top w:val="single" w:sz="6" w:space="0" w:color="auto"/>
              <w:bottom w:val="single" w:sz="6" w:space="0" w:color="auto"/>
            </w:tcBorders>
          </w:tcPr>
          <w:p w14:paraId="64145731" w14:textId="7423DAB9" w:rsidR="007E0074" w:rsidRDefault="00E31651" w:rsidP="00224BF9">
            <w:pPr>
              <w:rPr>
                <w:rFonts w:cs="Arial"/>
                <w:sz w:val="20"/>
              </w:rPr>
            </w:pPr>
            <w:r>
              <w:rPr>
                <w:rFonts w:cs="Arial"/>
                <w:sz w:val="20"/>
              </w:rPr>
              <w:t xml:space="preserve">We were surprised that there a link to NHS People services for mental health and wellbeing was not included at this point as an access point to mental health and wellbeing support for staff - </w:t>
            </w:r>
            <w:hyperlink r:id="rId10" w:history="1">
              <w:r w:rsidRPr="006073BC">
                <w:rPr>
                  <w:rStyle w:val="Hyperlink"/>
                  <w:rFonts w:cs="Arial"/>
                  <w:sz w:val="20"/>
                </w:rPr>
                <w:t>https://people.nhs.uk/</w:t>
              </w:r>
            </w:hyperlink>
          </w:p>
          <w:p w14:paraId="620623A8" w14:textId="0563E351" w:rsidR="00E31651" w:rsidRPr="00810A2E" w:rsidRDefault="00E31651" w:rsidP="00224BF9">
            <w:pPr>
              <w:rPr>
                <w:rFonts w:cs="Arial"/>
                <w:sz w:val="20"/>
              </w:rPr>
            </w:pPr>
          </w:p>
        </w:tc>
      </w:tr>
      <w:tr w:rsidR="00246154" w:rsidRPr="00810A2E" w14:paraId="73EB431F" w14:textId="77777777" w:rsidTr="6F912E95">
        <w:tc>
          <w:tcPr>
            <w:tcW w:w="397" w:type="pct"/>
            <w:tcBorders>
              <w:top w:val="single" w:sz="6" w:space="0" w:color="auto"/>
            </w:tcBorders>
          </w:tcPr>
          <w:p w14:paraId="3D33D004"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07BFEC98" w14:textId="41A5D694" w:rsidR="00246154" w:rsidRPr="00810A2E" w:rsidRDefault="00D82887" w:rsidP="00DB6AB5">
            <w:pPr>
              <w:rPr>
                <w:rFonts w:cs="Arial"/>
                <w:sz w:val="20"/>
              </w:rPr>
            </w:pPr>
            <w:r>
              <w:rPr>
                <w:rFonts w:cs="Arial"/>
                <w:sz w:val="20"/>
              </w:rPr>
              <w:t>Guideline</w:t>
            </w:r>
          </w:p>
        </w:tc>
        <w:tc>
          <w:tcPr>
            <w:tcW w:w="366" w:type="pct"/>
            <w:tcBorders>
              <w:top w:val="single" w:sz="6" w:space="0" w:color="auto"/>
            </w:tcBorders>
          </w:tcPr>
          <w:p w14:paraId="68E42D1A" w14:textId="53C2E831" w:rsidR="00246154" w:rsidRPr="00810A2E" w:rsidRDefault="00D82887" w:rsidP="00CF302B">
            <w:pPr>
              <w:rPr>
                <w:rFonts w:cs="Arial"/>
                <w:sz w:val="20"/>
              </w:rPr>
            </w:pPr>
            <w:r>
              <w:rPr>
                <w:rFonts w:cs="Arial"/>
                <w:sz w:val="20"/>
              </w:rPr>
              <w:t>General</w:t>
            </w:r>
          </w:p>
        </w:tc>
        <w:tc>
          <w:tcPr>
            <w:tcW w:w="400" w:type="pct"/>
            <w:tcBorders>
              <w:top w:val="single" w:sz="6" w:space="0" w:color="auto"/>
            </w:tcBorders>
          </w:tcPr>
          <w:p w14:paraId="14A32CE5" w14:textId="61154390" w:rsidR="00246154" w:rsidRPr="00810A2E" w:rsidRDefault="00D82887" w:rsidP="00CF302B">
            <w:pPr>
              <w:rPr>
                <w:rFonts w:cs="Arial"/>
                <w:sz w:val="20"/>
              </w:rPr>
            </w:pPr>
            <w:r>
              <w:rPr>
                <w:rFonts w:cs="Arial"/>
                <w:sz w:val="20"/>
              </w:rPr>
              <w:t>General</w:t>
            </w:r>
          </w:p>
        </w:tc>
        <w:tc>
          <w:tcPr>
            <w:tcW w:w="3376" w:type="pct"/>
            <w:tcBorders>
              <w:top w:val="single" w:sz="6" w:space="0" w:color="auto"/>
            </w:tcBorders>
          </w:tcPr>
          <w:p w14:paraId="1ABB433C" w14:textId="77777777" w:rsidR="00246154" w:rsidRDefault="00D82887" w:rsidP="00224BF9">
            <w:pPr>
              <w:rPr>
                <w:rFonts w:cs="Arial"/>
                <w:sz w:val="20"/>
              </w:rPr>
            </w:pPr>
            <w:r>
              <w:rPr>
                <w:rFonts w:cs="Arial"/>
                <w:sz w:val="20"/>
              </w:rPr>
              <w:t xml:space="preserve">We agree with </w:t>
            </w:r>
            <w:proofErr w:type="gramStart"/>
            <w:r>
              <w:rPr>
                <w:rFonts w:cs="Arial"/>
                <w:sz w:val="20"/>
              </w:rPr>
              <w:t>all of</w:t>
            </w:r>
            <w:proofErr w:type="gramEnd"/>
            <w:r>
              <w:rPr>
                <w:rFonts w:cs="Arial"/>
                <w:sz w:val="20"/>
              </w:rPr>
              <w:t xml:space="preserve"> the recommendations outlined in this guideline.  To support the implementation of this guidance all health and care staff need to be provided with access to national support for their mental health and wellbeing.</w:t>
            </w:r>
          </w:p>
          <w:p w14:paraId="52FDF6A0" w14:textId="0D9EA8B8" w:rsidR="00D82887" w:rsidRPr="00810A2E" w:rsidRDefault="00D82887" w:rsidP="00224BF9">
            <w:pPr>
              <w:rPr>
                <w:rFonts w:cs="Arial"/>
                <w:sz w:val="20"/>
              </w:rPr>
            </w:pPr>
          </w:p>
        </w:tc>
      </w:tr>
      <w:tr w:rsidR="007E0074" w:rsidRPr="00810A2E" w14:paraId="7FE7541A" w14:textId="77777777" w:rsidTr="6F912E95">
        <w:tc>
          <w:tcPr>
            <w:tcW w:w="397" w:type="pct"/>
          </w:tcPr>
          <w:p w14:paraId="237AE4CA" w14:textId="77777777" w:rsidR="007E0074" w:rsidRPr="00810A2E" w:rsidRDefault="007E0074" w:rsidP="00DB6AB5">
            <w:pPr>
              <w:jc w:val="center"/>
              <w:rPr>
                <w:rFonts w:cs="Arial"/>
                <w:sz w:val="20"/>
              </w:rPr>
            </w:pPr>
            <w:r w:rsidRPr="00810A2E">
              <w:rPr>
                <w:rFonts w:cs="Arial"/>
                <w:sz w:val="20"/>
              </w:rPr>
              <w:t>3</w:t>
            </w:r>
          </w:p>
        </w:tc>
        <w:tc>
          <w:tcPr>
            <w:tcW w:w="462" w:type="pct"/>
          </w:tcPr>
          <w:p w14:paraId="3CA7DBD8" w14:textId="446D1769" w:rsidR="007E0074" w:rsidRPr="00810A2E" w:rsidRDefault="00D82887" w:rsidP="00BB6A20">
            <w:pPr>
              <w:rPr>
                <w:rFonts w:cs="Arial"/>
                <w:sz w:val="20"/>
              </w:rPr>
            </w:pPr>
            <w:r>
              <w:rPr>
                <w:rFonts w:cs="Arial"/>
                <w:sz w:val="20"/>
              </w:rPr>
              <w:t>Guideline</w:t>
            </w:r>
          </w:p>
        </w:tc>
        <w:tc>
          <w:tcPr>
            <w:tcW w:w="366" w:type="pct"/>
          </w:tcPr>
          <w:p w14:paraId="0EA9CBBB" w14:textId="53F4E6C9" w:rsidR="007E0074" w:rsidRPr="00810A2E" w:rsidRDefault="00D82887" w:rsidP="00DB6AB5">
            <w:pPr>
              <w:rPr>
                <w:rFonts w:cs="Arial"/>
                <w:sz w:val="20"/>
              </w:rPr>
            </w:pPr>
            <w:r>
              <w:rPr>
                <w:rFonts w:cs="Arial"/>
                <w:sz w:val="20"/>
              </w:rPr>
              <w:t>General</w:t>
            </w:r>
          </w:p>
        </w:tc>
        <w:tc>
          <w:tcPr>
            <w:tcW w:w="400" w:type="pct"/>
          </w:tcPr>
          <w:p w14:paraId="22F98BBE" w14:textId="15A94151" w:rsidR="007E0074" w:rsidRPr="00810A2E" w:rsidRDefault="00D82887" w:rsidP="00DB6AB5">
            <w:pPr>
              <w:rPr>
                <w:rFonts w:cs="Arial"/>
                <w:sz w:val="20"/>
              </w:rPr>
            </w:pPr>
            <w:r>
              <w:rPr>
                <w:rFonts w:cs="Arial"/>
                <w:sz w:val="20"/>
              </w:rPr>
              <w:t>General</w:t>
            </w:r>
          </w:p>
        </w:tc>
        <w:tc>
          <w:tcPr>
            <w:tcW w:w="3376" w:type="pct"/>
          </w:tcPr>
          <w:p w14:paraId="64305D70" w14:textId="77777777" w:rsidR="007E0074" w:rsidRDefault="00D82887" w:rsidP="005A0634">
            <w:pPr>
              <w:rPr>
                <w:rFonts w:cs="Arial"/>
                <w:sz w:val="20"/>
              </w:rPr>
            </w:pPr>
            <w:r>
              <w:rPr>
                <w:rFonts w:cs="Arial"/>
                <w:sz w:val="20"/>
              </w:rPr>
              <w:t>There perhaps needs to be an additional recommendation that the significance of workforce wellbeing remains a priority for NHSE/I and DHSC and is supported appropriately at a national level</w:t>
            </w:r>
          </w:p>
          <w:p w14:paraId="5A72C473" w14:textId="1D0F049B" w:rsidR="00D82887" w:rsidRPr="00810A2E" w:rsidRDefault="00D82887" w:rsidP="005A0634">
            <w:pPr>
              <w:rPr>
                <w:rFonts w:cs="Arial"/>
                <w:sz w:val="20"/>
              </w:rPr>
            </w:pPr>
          </w:p>
        </w:tc>
      </w:tr>
      <w:tr w:rsidR="007E0074" w:rsidRPr="00810A2E" w14:paraId="18EA5D0A" w14:textId="77777777" w:rsidTr="6F912E95">
        <w:tc>
          <w:tcPr>
            <w:tcW w:w="397" w:type="pct"/>
          </w:tcPr>
          <w:p w14:paraId="689271F6" w14:textId="77777777" w:rsidR="007E0074" w:rsidRPr="00810A2E" w:rsidRDefault="00344D98" w:rsidP="00DB6AB5">
            <w:pPr>
              <w:jc w:val="center"/>
              <w:rPr>
                <w:rFonts w:cs="Arial"/>
                <w:sz w:val="20"/>
              </w:rPr>
            </w:pPr>
            <w:r>
              <w:rPr>
                <w:rFonts w:cs="Arial"/>
                <w:sz w:val="20"/>
              </w:rPr>
              <w:t>4</w:t>
            </w:r>
          </w:p>
        </w:tc>
        <w:tc>
          <w:tcPr>
            <w:tcW w:w="462" w:type="pct"/>
          </w:tcPr>
          <w:p w14:paraId="552AE8C5" w14:textId="57C3C8A9" w:rsidR="007E0074" w:rsidRPr="00810A2E" w:rsidRDefault="6F912E95" w:rsidP="6F912E95">
            <w:pPr>
              <w:rPr>
                <w:rFonts w:cs="Arial"/>
                <w:sz w:val="20"/>
              </w:rPr>
            </w:pPr>
            <w:r w:rsidRPr="6F912E95">
              <w:rPr>
                <w:rFonts w:cs="Arial"/>
                <w:sz w:val="20"/>
              </w:rPr>
              <w:t>Guideline</w:t>
            </w:r>
          </w:p>
        </w:tc>
        <w:tc>
          <w:tcPr>
            <w:tcW w:w="366" w:type="pct"/>
          </w:tcPr>
          <w:p w14:paraId="6A30B7D0" w14:textId="77777777" w:rsidR="007E0074" w:rsidRPr="00810A2E" w:rsidRDefault="007E0074" w:rsidP="00DB6AB5">
            <w:pPr>
              <w:rPr>
                <w:rFonts w:cs="Arial"/>
                <w:sz w:val="20"/>
              </w:rPr>
            </w:pPr>
          </w:p>
        </w:tc>
        <w:tc>
          <w:tcPr>
            <w:tcW w:w="400" w:type="pct"/>
          </w:tcPr>
          <w:p w14:paraId="6A089621" w14:textId="331CD7EA" w:rsidR="007E0074" w:rsidRPr="00810A2E" w:rsidRDefault="6F912E95" w:rsidP="6F912E95">
            <w:pPr>
              <w:rPr>
                <w:szCs w:val="22"/>
              </w:rPr>
            </w:pPr>
            <w:r w:rsidRPr="6F912E95">
              <w:rPr>
                <w:rFonts w:eastAsia="Arial" w:cs="Arial"/>
                <w:sz w:val="20"/>
              </w:rPr>
              <w:t xml:space="preserve">P10-11 </w:t>
            </w:r>
          </w:p>
        </w:tc>
        <w:tc>
          <w:tcPr>
            <w:tcW w:w="3376" w:type="pct"/>
          </w:tcPr>
          <w:p w14:paraId="66745B95" w14:textId="4D7CC24D" w:rsidR="007E0074" w:rsidRPr="00810A2E" w:rsidRDefault="6F912E95" w:rsidP="6F912E95">
            <w:pPr>
              <w:rPr>
                <w:rFonts w:cs="Arial"/>
                <w:sz w:val="20"/>
              </w:rPr>
            </w:pPr>
            <w:r w:rsidRPr="6F912E95">
              <w:rPr>
                <w:rFonts w:cs="Arial"/>
                <w:sz w:val="20"/>
              </w:rPr>
              <w:t>Consideration to facilitate and enable protected learning time for clinicians should be included</w:t>
            </w:r>
          </w:p>
        </w:tc>
      </w:tr>
    </w:tbl>
    <w:p w14:paraId="4869EB49" w14:textId="5577AE12" w:rsidR="6F912E95" w:rsidRDefault="6F912E95"/>
    <w:p w14:paraId="24289D82" w14:textId="004926AD" w:rsidR="6F912E95" w:rsidRDefault="6F912E95" w:rsidP="6F912E95">
      <w:pPr>
        <w:rPr>
          <w:szCs w:val="22"/>
        </w:rPr>
      </w:pPr>
    </w:p>
    <w:p w14:paraId="650638B3" w14:textId="77777777" w:rsidR="00A75B8B" w:rsidRDefault="00344D98" w:rsidP="00FC2698">
      <w:pPr>
        <w:rPr>
          <w:sz w:val="16"/>
          <w:szCs w:val="16"/>
        </w:rPr>
      </w:pPr>
      <w:r>
        <w:rPr>
          <w:sz w:val="16"/>
          <w:szCs w:val="16"/>
        </w:rPr>
        <w:t>Insert extra rows as needed</w:t>
      </w:r>
    </w:p>
    <w:p w14:paraId="3ABA1C05"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063C6C6D" w14:textId="77777777" w:rsidTr="009071D4">
        <w:tc>
          <w:tcPr>
            <w:tcW w:w="15352" w:type="dxa"/>
            <w:shd w:val="clear" w:color="auto" w:fill="auto"/>
          </w:tcPr>
          <w:p w14:paraId="10D1C25D" w14:textId="77777777" w:rsidR="003F6C97" w:rsidRDefault="003F6C97" w:rsidP="003F6C97">
            <w:pPr>
              <w:rPr>
                <w:rFonts w:cs="Arial"/>
                <w:b/>
                <w:sz w:val="24"/>
                <w:szCs w:val="24"/>
              </w:rPr>
            </w:pPr>
            <w:r w:rsidRPr="000C30A4">
              <w:rPr>
                <w:rFonts w:cs="Arial"/>
                <w:b/>
                <w:sz w:val="24"/>
                <w:szCs w:val="24"/>
              </w:rPr>
              <w:t>Checklist for submitting comments</w:t>
            </w:r>
          </w:p>
          <w:p w14:paraId="5A1A1564" w14:textId="77777777" w:rsidR="006B19C9" w:rsidRPr="000C30A4" w:rsidRDefault="006B19C9" w:rsidP="003F6C97">
            <w:pPr>
              <w:rPr>
                <w:rFonts w:cs="Arial"/>
                <w:b/>
                <w:sz w:val="24"/>
                <w:szCs w:val="24"/>
              </w:rPr>
            </w:pPr>
          </w:p>
          <w:p w14:paraId="35B39298"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450B8EF6"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6778409E"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B53D1A8"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99ECEDB" w14:textId="77777777" w:rsidR="00344D98"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4C728392" w14:textId="77777777" w:rsidR="0073545F" w:rsidRPr="0073545F" w:rsidRDefault="0073545F" w:rsidP="005A431F">
            <w:pPr>
              <w:numPr>
                <w:ilvl w:val="0"/>
                <w:numId w:val="9"/>
              </w:numPr>
              <w:rPr>
                <w:rFonts w:cs="Arial"/>
                <w:sz w:val="24"/>
                <w:szCs w:val="24"/>
              </w:rPr>
            </w:pPr>
            <w:r w:rsidRPr="0073545F">
              <w:rPr>
                <w:sz w:val="24"/>
                <w:szCs w:val="24"/>
              </w:rPr>
              <w:t>Ensure each comment stands alone; do not cross-refer within one comment to another comment.</w:t>
            </w:r>
          </w:p>
          <w:p w14:paraId="602E53F9" w14:textId="77777777" w:rsidR="003F6C97" w:rsidRPr="00AA6E9B" w:rsidRDefault="006B19C9" w:rsidP="00D36D76">
            <w:pPr>
              <w:numPr>
                <w:ilvl w:val="0"/>
                <w:numId w:val="9"/>
              </w:numPr>
              <w:rPr>
                <w:rFonts w:cs="Arial"/>
                <w:b/>
                <w:sz w:val="24"/>
                <w:szCs w:val="24"/>
              </w:rPr>
            </w:pPr>
            <w:r>
              <w:rPr>
                <w:rFonts w:cs="Arial"/>
                <w:b/>
                <w:sz w:val="24"/>
                <w:szCs w:val="24"/>
              </w:rPr>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6C5872C9" w14:textId="77777777" w:rsidR="003F6C97" w:rsidRPr="000C30A4" w:rsidRDefault="003F6C97" w:rsidP="00D36D76">
            <w:pPr>
              <w:numPr>
                <w:ilvl w:val="0"/>
                <w:numId w:val="9"/>
              </w:numPr>
              <w:rPr>
                <w:rFonts w:cs="Arial"/>
                <w:sz w:val="24"/>
                <w:szCs w:val="24"/>
              </w:rPr>
            </w:pPr>
            <w:r w:rsidRPr="006B19C9">
              <w:rPr>
                <w:rFonts w:cs="Arial"/>
                <w:b/>
                <w:bCs/>
                <w:sz w:val="24"/>
                <w:szCs w:val="24"/>
              </w:rPr>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1838887A"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4BD862BF"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w:t>
            </w:r>
            <w:proofErr w:type="gramStart"/>
            <w:r w:rsidRPr="000C30A4">
              <w:rPr>
                <w:rFonts w:cs="Arial"/>
                <w:sz w:val="24"/>
                <w:szCs w:val="24"/>
              </w:rPr>
              <w:t>letters</w:t>
            </w:r>
            <w:proofErr w:type="gramEnd"/>
            <w:r w:rsidRPr="000C30A4">
              <w:rPr>
                <w:rFonts w:cs="Arial"/>
                <w:sz w:val="24"/>
                <w:szCs w:val="24"/>
              </w:rPr>
              <w:t xml:space="preserve"> or leaflets. We return comments forms that have attachments without reading them. The stakeholder may resubmit the form without attachments, but it must be received by the deadline.</w:t>
            </w:r>
          </w:p>
          <w:p w14:paraId="0DC2B994"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02562BC0" w14:textId="77777777" w:rsidR="00E76FCA" w:rsidRDefault="00E76FCA" w:rsidP="00392C6A">
            <w:pPr>
              <w:pStyle w:val="Paragraphnonumbers"/>
              <w:spacing w:after="120" w:line="240" w:lineRule="auto"/>
              <w:rPr>
                <w:rFonts w:cs="Arial"/>
              </w:rPr>
            </w:pPr>
          </w:p>
          <w:p w14:paraId="3ED91514"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1" w:history="1">
              <w:r w:rsidR="003F6C97" w:rsidRPr="000C30A4">
                <w:rPr>
                  <w:rStyle w:val="Hyperlink"/>
                  <w:rFonts w:cs="Arial"/>
                </w:rPr>
                <w:t>NICE Pathways</w:t>
              </w:r>
            </w:hyperlink>
            <w:r>
              <w:rPr>
                <w:rFonts w:cs="Arial"/>
              </w:rPr>
              <w:t>.</w:t>
            </w:r>
          </w:p>
          <w:p w14:paraId="290A802E" w14:textId="77777777" w:rsidR="000C30A4" w:rsidRPr="0075128C" w:rsidRDefault="000C30A4" w:rsidP="000C30A4">
            <w:pPr>
              <w:pStyle w:val="NICEnormal"/>
              <w:spacing w:after="120" w:line="240" w:lineRule="auto"/>
              <w:rPr>
                <w:rFonts w:cs="Arial"/>
                <w:lang w:val="en-GB"/>
              </w:rPr>
            </w:pPr>
            <w:r w:rsidRPr="00E76FCA">
              <w:rPr>
                <w:rFonts w:cs="Arial"/>
                <w:b/>
                <w:lang w:val="en-GB"/>
              </w:rPr>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2E41C03" w14:textId="77777777" w:rsidR="000C30A4" w:rsidRDefault="000C30A4" w:rsidP="00C05BCC">
            <w:pPr>
              <w:pStyle w:val="Paragraphnonumbers"/>
              <w:spacing w:after="120" w:line="240" w:lineRule="auto"/>
              <w:rPr>
                <w:rFonts w:cs="Arial"/>
                <w:bCs/>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14:paraId="54135483"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049E12FD"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lastRenderedPageBreak/>
              <w:t>The information you submit on this form will be retained and used by NICE and its advisers for the purpose of developing its guidance and 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3F4B2EE1" w14:textId="77777777" w:rsidR="005F2CB3" w:rsidRDefault="005F2CB3" w:rsidP="005F2CB3">
            <w:pPr>
              <w:widowControl w:val="0"/>
              <w:spacing w:line="288" w:lineRule="atLeast"/>
              <w:outlineLvl w:val="3"/>
              <w:rPr>
                <w:rStyle w:val="Emphasis"/>
                <w:rFonts w:cs="Arial"/>
                <w:i w:val="0"/>
                <w:sz w:val="24"/>
                <w:szCs w:val="24"/>
              </w:rPr>
            </w:pPr>
          </w:p>
          <w:p w14:paraId="425245B4"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 xml:space="preserve">via this </w:t>
            </w:r>
            <w:proofErr w:type="gramStart"/>
            <w:r>
              <w:rPr>
                <w:rStyle w:val="Emphasis"/>
                <w:rFonts w:cs="Arial"/>
                <w:i w:val="0"/>
                <w:sz w:val="24"/>
                <w:szCs w:val="24"/>
              </w:rPr>
              <w:t>form</w:t>
            </w:r>
            <w:proofErr w:type="gramEnd"/>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6948EDAB" w14:textId="77777777" w:rsidR="00330112" w:rsidRDefault="00330112" w:rsidP="005F2CB3">
            <w:pPr>
              <w:widowControl w:val="0"/>
              <w:spacing w:line="288" w:lineRule="atLeast"/>
              <w:outlineLvl w:val="3"/>
              <w:rPr>
                <w:rStyle w:val="Emphasis"/>
                <w:rFonts w:cs="Arial"/>
                <w:sz w:val="24"/>
              </w:rPr>
            </w:pPr>
          </w:p>
          <w:p w14:paraId="2DD2ACD0" w14:textId="77777777" w:rsidR="005F2CB3" w:rsidRPr="009071D4" w:rsidRDefault="00330112" w:rsidP="006B19C9">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r:id="rId12" w:history="1">
              <w:r w:rsidRPr="00C05BCC">
                <w:rPr>
                  <w:rStyle w:val="Hyperlink"/>
                  <w:rFonts w:cs="Arial"/>
                  <w:bCs/>
                </w:rPr>
                <w:t>privacy notice</w:t>
              </w:r>
            </w:hyperlink>
            <w:r>
              <w:rPr>
                <w:rFonts w:cs="Arial"/>
                <w:bCs/>
              </w:rPr>
              <w:t>.</w:t>
            </w:r>
          </w:p>
        </w:tc>
      </w:tr>
    </w:tbl>
    <w:p w14:paraId="5718424D" w14:textId="77777777" w:rsidR="00B81DC8" w:rsidRDefault="00B81DC8" w:rsidP="00FC2698">
      <w:pPr>
        <w:rPr>
          <w:rFonts w:cs="Arial"/>
          <w:sz w:val="20"/>
        </w:rPr>
      </w:pPr>
    </w:p>
    <w:p w14:paraId="58B4605C" w14:textId="77777777" w:rsidR="003F6C97" w:rsidRDefault="003F6C97" w:rsidP="00FC2698">
      <w:pPr>
        <w:rPr>
          <w:rFonts w:cs="Arial"/>
          <w:sz w:val="20"/>
        </w:rPr>
      </w:pPr>
    </w:p>
    <w:p w14:paraId="1AE181D7" w14:textId="77777777" w:rsidR="003F6C97" w:rsidRDefault="003F6C97" w:rsidP="00FC2698">
      <w:pPr>
        <w:rPr>
          <w:rFonts w:cs="Arial"/>
          <w:sz w:val="20"/>
        </w:rPr>
      </w:pPr>
    </w:p>
    <w:p w14:paraId="583ED578" w14:textId="77777777" w:rsidR="003F6C97" w:rsidRPr="00B81DC8" w:rsidRDefault="003F6C97" w:rsidP="00FC2698">
      <w:pPr>
        <w:rPr>
          <w:rFonts w:cs="Arial"/>
          <w:sz w:val="20"/>
        </w:rPr>
      </w:pPr>
    </w:p>
    <w:sectPr w:rsidR="003F6C97" w:rsidRPr="00B81DC8" w:rsidSect="006426EF">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38E7C" w14:textId="77777777" w:rsidR="00685AB8" w:rsidRDefault="00685AB8">
      <w:r>
        <w:separator/>
      </w:r>
    </w:p>
  </w:endnote>
  <w:endnote w:type="continuationSeparator" w:id="0">
    <w:p w14:paraId="6D918D54" w14:textId="77777777" w:rsidR="00685AB8" w:rsidRDefault="00685AB8">
      <w:r>
        <w:continuationSeparator/>
      </w:r>
    </w:p>
  </w:endnote>
  <w:endnote w:type="continuationNotice" w:id="1">
    <w:p w14:paraId="6B8960A9" w14:textId="77777777" w:rsidR="00685AB8" w:rsidRDefault="00685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F694C" w14:textId="77777777" w:rsidR="00293EE8" w:rsidRDefault="00293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7222A" w14:textId="77777777" w:rsidR="00EE6C88" w:rsidRDefault="00EE6C88" w:rsidP="00EE6C88">
    <w:pPr>
      <w:tabs>
        <w:tab w:val="left" w:pos="5565"/>
      </w:tabs>
      <w:rPr>
        <w:sz w:val="18"/>
      </w:rPr>
    </w:pPr>
    <w:r>
      <w:rPr>
        <w:sz w:val="18"/>
      </w:rPr>
      <w:tab/>
    </w:r>
  </w:p>
  <w:p w14:paraId="20266852" w14:textId="57D10738" w:rsidR="00EE6C88" w:rsidRDefault="00EE6C88" w:rsidP="00EE6C88">
    <w:pPr>
      <w:rPr>
        <w:b/>
      </w:rPr>
    </w:pPr>
    <w:r>
      <w:rPr>
        <w:szCs w:val="22"/>
      </w:rPr>
      <w:t>Please return to:</w:t>
    </w:r>
    <w:r>
      <w:t xml:space="preserve"> </w:t>
    </w:r>
    <w:hyperlink r:id="rId1" w:history="1">
      <w:r w:rsidR="001A5FAB" w:rsidRPr="002F1426">
        <w:rPr>
          <w:rStyle w:val="Hyperlink"/>
        </w:rPr>
        <w:t>MWBatwork@nice.org.uk</w:t>
      </w:r>
    </w:hyperlink>
    <w:r w:rsidR="001A5F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74620" w14:textId="77777777" w:rsidR="00293EE8" w:rsidRDefault="00293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80C5B" w14:textId="77777777" w:rsidR="00685AB8" w:rsidRDefault="00685AB8">
      <w:r>
        <w:separator/>
      </w:r>
    </w:p>
  </w:footnote>
  <w:footnote w:type="continuationSeparator" w:id="0">
    <w:p w14:paraId="7F64183E" w14:textId="77777777" w:rsidR="00685AB8" w:rsidRDefault="00685AB8">
      <w:r>
        <w:continuationSeparator/>
      </w:r>
    </w:p>
  </w:footnote>
  <w:footnote w:type="continuationNotice" w:id="1">
    <w:p w14:paraId="152D6414" w14:textId="77777777" w:rsidR="00685AB8" w:rsidRDefault="00685A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5C24B" w14:textId="77777777" w:rsidR="00293EE8" w:rsidRDefault="00293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CA3A2" w14:textId="1C55D489" w:rsidR="007968D4" w:rsidRPr="008039AA" w:rsidRDefault="001A5FAB" w:rsidP="003F6C97">
    <w:pPr>
      <w:pStyle w:val="Heading3"/>
      <w:jc w:val="left"/>
      <w:rPr>
        <w:bCs w:val="0"/>
        <w:sz w:val="28"/>
        <w:szCs w:val="28"/>
      </w:rPr>
    </w:pPr>
    <w:r>
      <w:rPr>
        <w:bCs w:val="0"/>
        <w:szCs w:val="28"/>
      </w:rPr>
      <w:t>Mental Wellbeing at Work</w:t>
    </w:r>
    <w:r w:rsidR="003F6C97" w:rsidRPr="001E1D2C">
      <w:rPr>
        <w:bCs w:val="0"/>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293EE8">
      <w:rPr>
        <w:bCs w:val="0"/>
        <w:sz w:val="28"/>
        <w:szCs w:val="28"/>
      </w:rPr>
      <w:t xml:space="preserve">            </w:t>
    </w:r>
    <w:r w:rsidR="003F05AC" w:rsidRPr="00E53E36">
      <w:rPr>
        <w:noProof/>
        <w:lang w:eastAsia="en-GB"/>
      </w:rPr>
      <w:drawing>
        <wp:inline distT="0" distB="0" distL="0" distR="0" wp14:anchorId="0D350187" wp14:editId="458840CE">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14:paraId="6F6E5D02" w14:textId="77777777" w:rsidR="007968D4" w:rsidRPr="00937F34" w:rsidRDefault="007968D4" w:rsidP="007968D4">
    <w:pPr>
      <w:pStyle w:val="Header"/>
      <w:jc w:val="center"/>
      <w:rPr>
        <w:b/>
        <w:bCs/>
      </w:rPr>
    </w:pPr>
  </w:p>
  <w:p w14:paraId="77F309CA" w14:textId="7E335128"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293EE8">
      <w:t xml:space="preserve">Friday, </w:t>
    </w:r>
    <w:r w:rsidR="001A5FAB">
      <w:rPr>
        <w:bCs w:val="0"/>
      </w:rPr>
      <w:t>29</w:t>
    </w:r>
    <w:r w:rsidR="001A5FAB" w:rsidRPr="001A5FAB">
      <w:rPr>
        <w:bCs w:val="0"/>
        <w:vertAlign w:val="superscript"/>
      </w:rPr>
      <w:t>th</w:t>
    </w:r>
    <w:r w:rsidR="001A5FAB">
      <w:rPr>
        <w:bCs w:val="0"/>
      </w:rPr>
      <w:t xml:space="preserve"> October 2021</w:t>
    </w:r>
    <w:r w:rsidR="00293EE8">
      <w:rPr>
        <w:bCs w:val="0"/>
      </w:rPr>
      <w:t xml:space="preserve"> at 5pm</w:t>
    </w:r>
    <w:r w:rsidR="001A5FAB">
      <w:rPr>
        <w:bCs w:val="0"/>
      </w:rPr>
      <w:t xml:space="preserve">            </w:t>
    </w:r>
    <w:r w:rsidR="00293EE8">
      <w:rPr>
        <w:bCs w:val="0"/>
      </w:rPr>
      <w:t xml:space="preserve">      </w:t>
    </w:r>
    <w:r w:rsidR="007334BB" w:rsidRPr="00F506DC">
      <w:rPr>
        <w:bCs w:val="0"/>
      </w:rPr>
      <w:t>email:</w:t>
    </w:r>
    <w:r w:rsidR="007334BB" w:rsidRPr="00F506DC">
      <w:rPr>
        <w:b w:val="0"/>
        <w:bCs w:val="0"/>
      </w:rPr>
      <w:t xml:space="preserve"> </w:t>
    </w:r>
    <w:hyperlink r:id="rId2" w:history="1">
      <w:r w:rsidR="001A5FAB" w:rsidRPr="002F1426">
        <w:rPr>
          <w:rStyle w:val="Hyperlink"/>
          <w:b w:val="0"/>
          <w:bCs w:val="0"/>
        </w:rPr>
        <w:t>MWBatwork@nice.org.uk</w:t>
      </w:r>
    </w:hyperlink>
    <w:r w:rsidR="001A5FAB">
      <w:rPr>
        <w:b w:val="0"/>
        <w:bCs w:val="0"/>
      </w:rPr>
      <w:t xml:space="preserve"> </w:t>
    </w:r>
  </w:p>
  <w:p w14:paraId="41CB7229" w14:textId="77777777" w:rsidR="007968D4" w:rsidRDefault="00796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B156C" w14:textId="77777777" w:rsidR="00293EE8" w:rsidRDefault="00293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5FAB"/>
    <w:rsid w:val="001A6E9A"/>
    <w:rsid w:val="001A777C"/>
    <w:rsid w:val="001C64F0"/>
    <w:rsid w:val="001C6FA8"/>
    <w:rsid w:val="001D0B02"/>
    <w:rsid w:val="001D0B89"/>
    <w:rsid w:val="001D6BCA"/>
    <w:rsid w:val="001E1D2C"/>
    <w:rsid w:val="001E56D1"/>
    <w:rsid w:val="001E689F"/>
    <w:rsid w:val="00205AF4"/>
    <w:rsid w:val="00205DF3"/>
    <w:rsid w:val="0021353E"/>
    <w:rsid w:val="00214A02"/>
    <w:rsid w:val="00224BF9"/>
    <w:rsid w:val="00246154"/>
    <w:rsid w:val="002475F1"/>
    <w:rsid w:val="00257BDB"/>
    <w:rsid w:val="00261963"/>
    <w:rsid w:val="00292396"/>
    <w:rsid w:val="00293EE8"/>
    <w:rsid w:val="002A7173"/>
    <w:rsid w:val="002A7A97"/>
    <w:rsid w:val="002A7D99"/>
    <w:rsid w:val="002B2DCF"/>
    <w:rsid w:val="002C0DB3"/>
    <w:rsid w:val="002C4A57"/>
    <w:rsid w:val="002D44C8"/>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85AB8"/>
    <w:rsid w:val="006B19C9"/>
    <w:rsid w:val="006B6ADD"/>
    <w:rsid w:val="006E0EED"/>
    <w:rsid w:val="006F2675"/>
    <w:rsid w:val="006F679F"/>
    <w:rsid w:val="0070312D"/>
    <w:rsid w:val="007061C2"/>
    <w:rsid w:val="00717E28"/>
    <w:rsid w:val="00733036"/>
    <w:rsid w:val="007334BB"/>
    <w:rsid w:val="0073545F"/>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56C4"/>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0A7"/>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4625"/>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2887"/>
    <w:rsid w:val="00D87756"/>
    <w:rsid w:val="00D93033"/>
    <w:rsid w:val="00D937BE"/>
    <w:rsid w:val="00DB1C72"/>
    <w:rsid w:val="00DB6AB5"/>
    <w:rsid w:val="00DC47AF"/>
    <w:rsid w:val="00DE25FF"/>
    <w:rsid w:val="00DE50FC"/>
    <w:rsid w:val="00E025D0"/>
    <w:rsid w:val="00E2483C"/>
    <w:rsid w:val="00E31651"/>
    <w:rsid w:val="00E330B0"/>
    <w:rsid w:val="00E33719"/>
    <w:rsid w:val="00E4444F"/>
    <w:rsid w:val="00E57605"/>
    <w:rsid w:val="00E6681A"/>
    <w:rsid w:val="00E73623"/>
    <w:rsid w:val="00E76FCA"/>
    <w:rsid w:val="00E911D0"/>
    <w:rsid w:val="00E95C31"/>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 w:val="6F912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privacy-notic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thways.nice.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eople.nhs.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ice.org.uk/process/pmg22/chapter/how-you-can-get-involved"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MWBatwork@nice.org.uk"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MWBatwork@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889</Words>
  <Characters>5082</Characters>
  <Application>Microsoft Office Word</Application>
  <DocSecurity>4</DocSecurity>
  <Lines>42</Lines>
  <Paragraphs>11</Paragraphs>
  <ScaleCrop>false</ScaleCrop>
  <Company>NICE</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Angela Crawford</cp:lastModifiedBy>
  <cp:revision>2</cp:revision>
  <cp:lastPrinted>2005-11-01T09:30:00Z</cp:lastPrinted>
  <dcterms:created xsi:type="dcterms:W3CDTF">2021-10-20T10:37:00Z</dcterms:created>
  <dcterms:modified xsi:type="dcterms:W3CDTF">2021-10-20T10:37:00Z</dcterms:modified>
</cp:coreProperties>
</file>