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11B34" w14:textId="2916C65A" w:rsidR="00F92468" w:rsidRDefault="00F92468" w:rsidP="00F92468">
      <w:pPr>
        <w:ind w:left="720" w:hanging="360"/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9338225" wp14:editId="4070AC97">
            <wp:extent cx="2508742" cy="7429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00" cy="74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D4923" w14:textId="77777777" w:rsidR="00F92468" w:rsidRDefault="00FB73B2" w:rsidP="00094AF8">
      <w:pPr>
        <w:ind w:left="720" w:hanging="360"/>
        <w:jc w:val="center"/>
        <w:rPr>
          <w:b/>
          <w:bCs/>
          <w:sz w:val="28"/>
          <w:szCs w:val="28"/>
        </w:rPr>
      </w:pPr>
      <w:r w:rsidRPr="00094AF8">
        <w:rPr>
          <w:b/>
          <w:bCs/>
          <w:sz w:val="28"/>
          <w:szCs w:val="28"/>
        </w:rPr>
        <w:t>T level outline consultation: Pharmacy Services Specialism</w:t>
      </w:r>
      <w:r w:rsidR="00094AF8" w:rsidRPr="00094AF8">
        <w:rPr>
          <w:b/>
          <w:bCs/>
          <w:sz w:val="28"/>
          <w:szCs w:val="28"/>
        </w:rPr>
        <w:t xml:space="preserve">- </w:t>
      </w:r>
    </w:p>
    <w:p w14:paraId="0E02D1B4" w14:textId="366C0B03" w:rsidR="00FB73B2" w:rsidRPr="00F92468" w:rsidRDefault="00094AF8" w:rsidP="00094AF8">
      <w:pPr>
        <w:ind w:left="720" w:hanging="360"/>
        <w:jc w:val="center"/>
        <w:rPr>
          <w:b/>
          <w:bCs/>
          <w:color w:val="000000" w:themeColor="text1"/>
          <w:sz w:val="28"/>
          <w:szCs w:val="28"/>
        </w:rPr>
      </w:pPr>
      <w:r w:rsidRPr="00F92468">
        <w:rPr>
          <w:b/>
          <w:bCs/>
          <w:color w:val="000000" w:themeColor="text1"/>
          <w:sz w:val="28"/>
          <w:szCs w:val="28"/>
        </w:rPr>
        <w:t>R</w:t>
      </w:r>
      <w:r w:rsidR="00F92468" w:rsidRPr="00F92468">
        <w:rPr>
          <w:b/>
          <w:bCs/>
          <w:color w:val="000000" w:themeColor="text1"/>
          <w:sz w:val="28"/>
          <w:szCs w:val="28"/>
        </w:rPr>
        <w:t>oyal Pharmaceutical Society</w:t>
      </w:r>
      <w:r w:rsidRPr="00F92468">
        <w:rPr>
          <w:b/>
          <w:bCs/>
          <w:color w:val="000000" w:themeColor="text1"/>
          <w:sz w:val="28"/>
          <w:szCs w:val="28"/>
        </w:rPr>
        <w:t xml:space="preserve"> response</w:t>
      </w:r>
    </w:p>
    <w:p w14:paraId="5F46AF75" w14:textId="77777777" w:rsidR="00FB73B2" w:rsidRPr="00F92468" w:rsidRDefault="00FB73B2" w:rsidP="00FB73B2">
      <w:pPr>
        <w:pStyle w:val="ListParagraph"/>
        <w:rPr>
          <w:color w:val="000000" w:themeColor="text1"/>
        </w:rPr>
      </w:pPr>
    </w:p>
    <w:p w14:paraId="768C033A" w14:textId="77777777" w:rsidR="00F92468" w:rsidRDefault="00F92468" w:rsidP="0085415F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F92468">
        <w:rPr>
          <w:rFonts w:cstheme="minorHAnsi"/>
          <w:b/>
          <w:bCs/>
          <w:color w:val="000000" w:themeColor="text1"/>
          <w:shd w:val="clear" w:color="auto" w:fill="FFFFFF"/>
        </w:rPr>
        <w:t>1.</w:t>
      </w:r>
      <w:r w:rsidR="0085415F" w:rsidRPr="00F92468">
        <w:rPr>
          <w:rFonts w:cstheme="minorHAnsi"/>
          <w:b/>
          <w:bCs/>
          <w:color w:val="000000" w:themeColor="text1"/>
          <w:shd w:val="clear" w:color="auto" w:fill="FFFFFF"/>
        </w:rPr>
        <w:t xml:space="preserve">Does the T level specialist content include the right knowledge, </w:t>
      </w:r>
      <w:proofErr w:type="gramStart"/>
      <w:r w:rsidR="0085415F" w:rsidRPr="00F92468">
        <w:rPr>
          <w:rFonts w:cstheme="minorHAnsi"/>
          <w:b/>
          <w:bCs/>
          <w:color w:val="000000" w:themeColor="text1"/>
          <w:shd w:val="clear" w:color="auto" w:fill="FFFFFF"/>
        </w:rPr>
        <w:t>skills</w:t>
      </w:r>
      <w:proofErr w:type="gramEnd"/>
      <w:r w:rsidR="0085415F" w:rsidRPr="00F92468">
        <w:rPr>
          <w:rFonts w:cstheme="minorHAnsi"/>
          <w:b/>
          <w:bCs/>
          <w:color w:val="000000" w:themeColor="text1"/>
          <w:shd w:val="clear" w:color="auto" w:fill="FFFFFF"/>
        </w:rPr>
        <w:t xml:space="preserve"> and behaviours to allow someone to gain employment in a chosen occupation within the route?</w:t>
      </w:r>
    </w:p>
    <w:p w14:paraId="1C950AD1" w14:textId="13D03C8B" w:rsidR="0085415F" w:rsidRPr="00F92468" w:rsidRDefault="0085415F" w:rsidP="0085415F">
      <w:pPr>
        <w:rPr>
          <w:rFonts w:cstheme="minorHAnsi"/>
          <w:color w:val="000000" w:themeColor="text1"/>
        </w:rPr>
      </w:pPr>
      <w:r w:rsidRPr="00F92468">
        <w:rPr>
          <w:rFonts w:cstheme="minorHAnsi"/>
          <w:color w:val="000000" w:themeColor="text1"/>
        </w:rPr>
        <w:t xml:space="preserve">We believe the T level proposal </w:t>
      </w:r>
      <w:r w:rsidR="00C83A20" w:rsidRPr="00F92468">
        <w:rPr>
          <w:rFonts w:cstheme="minorHAnsi"/>
          <w:color w:val="000000" w:themeColor="text1"/>
        </w:rPr>
        <w:t xml:space="preserve">does not align with current and future pharmacy practice. </w:t>
      </w:r>
      <w:r w:rsidRPr="00F92468">
        <w:rPr>
          <w:rFonts w:cstheme="minorHAnsi"/>
          <w:color w:val="000000" w:themeColor="text1"/>
        </w:rPr>
        <w:t xml:space="preserve">It needs to make students aware of future pharmacy roles </w:t>
      </w:r>
      <w:r w:rsidR="00F92468" w:rsidRPr="00F92468">
        <w:rPr>
          <w:rFonts w:cstheme="minorHAnsi"/>
          <w:color w:val="000000" w:themeColor="text1"/>
        </w:rPr>
        <w:t>e.g.,</w:t>
      </w:r>
      <w:r w:rsidRPr="00F92468">
        <w:rPr>
          <w:rFonts w:cstheme="minorHAnsi"/>
          <w:color w:val="000000" w:themeColor="text1"/>
        </w:rPr>
        <w:t xml:space="preserve"> Research/clinical trials, genomics, consultation skills, human factors and medicines safety, telemedicine and digital systems, procurement and cost effectiveness. The focus of this is contextualising the role rather than a detailed knowledge of these.</w:t>
      </w:r>
    </w:p>
    <w:p w14:paraId="309AF9D5" w14:textId="446F3BDE" w:rsidR="00F92468" w:rsidRDefault="00F92468" w:rsidP="00F92468">
      <w:pPr>
        <w:spacing w:after="0" w:line="240" w:lineRule="auto"/>
        <w:rPr>
          <w:rFonts w:cstheme="minorHAnsi"/>
          <w:color w:val="000000" w:themeColor="text1"/>
        </w:rPr>
      </w:pPr>
      <w:r w:rsidRPr="00F92468">
        <w:rPr>
          <w:rFonts w:cstheme="minorHAnsi"/>
          <w:b/>
          <w:bCs/>
          <w:color w:val="000000" w:themeColor="text1"/>
          <w:shd w:val="clear" w:color="auto" w:fill="FFFFFF"/>
        </w:rPr>
        <w:t>2.I</w:t>
      </w:r>
      <w:r w:rsidR="0085415F" w:rsidRPr="00F92468">
        <w:rPr>
          <w:rFonts w:cstheme="minorHAnsi"/>
          <w:b/>
          <w:bCs/>
          <w:color w:val="000000" w:themeColor="text1"/>
          <w:shd w:val="clear" w:color="auto" w:fill="FFFFFF"/>
        </w:rPr>
        <w:t>s there anything missing from the specialist content?</w:t>
      </w:r>
    </w:p>
    <w:p w14:paraId="6D7F21F0" w14:textId="31544554" w:rsidR="0085415F" w:rsidRPr="00F92468" w:rsidRDefault="0085415F" w:rsidP="0085415F">
      <w:pPr>
        <w:rPr>
          <w:rFonts w:cstheme="minorHAnsi"/>
          <w:color w:val="000000" w:themeColor="text1"/>
        </w:rPr>
      </w:pPr>
      <w:r w:rsidRPr="00F92468">
        <w:rPr>
          <w:rFonts w:cstheme="minorHAnsi"/>
          <w:color w:val="000000" w:themeColor="text1"/>
        </w:rPr>
        <w:t>Yes, see Q1</w:t>
      </w:r>
      <w:r w:rsidR="00FB73B2" w:rsidRPr="00F92468">
        <w:rPr>
          <w:rFonts w:cstheme="minorHAnsi"/>
          <w:color w:val="000000" w:themeColor="text1"/>
        </w:rPr>
        <w:t xml:space="preserve">. In </w:t>
      </w:r>
      <w:r w:rsidR="00F92468" w:rsidRPr="00F92468">
        <w:rPr>
          <w:rFonts w:cstheme="minorHAnsi"/>
          <w:color w:val="000000" w:themeColor="text1"/>
        </w:rPr>
        <w:t>addition,</w:t>
      </w:r>
      <w:r w:rsidR="00FB73B2" w:rsidRPr="00F92468">
        <w:rPr>
          <w:rFonts w:cstheme="minorHAnsi"/>
          <w:color w:val="000000" w:themeColor="text1"/>
        </w:rPr>
        <w:t xml:space="preserve"> there are elements of the GPhC IET standards that are not covered in the T level of accelerated apprenticeship </w:t>
      </w:r>
      <w:r w:rsidR="00F92468" w:rsidRPr="00F92468">
        <w:rPr>
          <w:rFonts w:cstheme="minorHAnsi"/>
          <w:color w:val="000000" w:themeColor="text1"/>
        </w:rPr>
        <w:t>e.g.,</w:t>
      </w:r>
      <w:r w:rsidR="00FB73B2" w:rsidRPr="00F92468">
        <w:rPr>
          <w:rFonts w:cstheme="minorHAnsi"/>
          <w:color w:val="000000" w:themeColor="text1"/>
        </w:rPr>
        <w:t xml:space="preserve"> accuracy checking. </w:t>
      </w:r>
    </w:p>
    <w:p w14:paraId="1E213C48" w14:textId="7464C067" w:rsidR="0085415F" w:rsidRPr="00F92468" w:rsidRDefault="00F92468" w:rsidP="00F92468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F92468">
        <w:rPr>
          <w:rFonts w:cstheme="minorHAnsi"/>
          <w:b/>
          <w:bCs/>
          <w:color w:val="000000" w:themeColor="text1"/>
          <w:shd w:val="clear" w:color="auto" w:fill="FFFFFF"/>
        </w:rPr>
        <w:t>3.</w:t>
      </w:r>
      <w:r w:rsidR="0085415F" w:rsidRPr="00F92468">
        <w:rPr>
          <w:rFonts w:cstheme="minorHAnsi"/>
          <w:b/>
          <w:bCs/>
          <w:color w:val="000000" w:themeColor="text1"/>
          <w:shd w:val="clear" w:color="auto" w:fill="FFFFFF"/>
        </w:rPr>
        <w:t>Is there anything in the specialist content that is not necessary?</w:t>
      </w:r>
    </w:p>
    <w:p w14:paraId="26E1C122" w14:textId="10A568D6" w:rsidR="0085415F" w:rsidRPr="00F92468" w:rsidRDefault="0085415F" w:rsidP="0085415F">
      <w:pPr>
        <w:rPr>
          <w:rFonts w:cstheme="minorHAnsi"/>
          <w:color w:val="000000" w:themeColor="text1"/>
        </w:rPr>
      </w:pPr>
      <w:r w:rsidRPr="00F92468">
        <w:rPr>
          <w:rFonts w:cstheme="minorHAnsi"/>
          <w:color w:val="000000" w:themeColor="text1"/>
        </w:rPr>
        <w:t>No</w:t>
      </w:r>
      <w:r w:rsidR="00094AF8" w:rsidRPr="00F92468">
        <w:rPr>
          <w:rFonts w:cstheme="minorHAnsi"/>
          <w:color w:val="000000" w:themeColor="text1"/>
        </w:rPr>
        <w:t xml:space="preserve">. There is a risk that students that progress to the </w:t>
      </w:r>
      <w:proofErr w:type="spellStart"/>
      <w:r w:rsidR="00094AF8" w:rsidRPr="00F92468">
        <w:rPr>
          <w:rFonts w:cstheme="minorHAnsi"/>
          <w:color w:val="000000" w:themeColor="text1"/>
        </w:rPr>
        <w:t>MPharm</w:t>
      </w:r>
      <w:proofErr w:type="spellEnd"/>
      <w:r w:rsidR="00094AF8" w:rsidRPr="00F92468">
        <w:rPr>
          <w:rFonts w:cstheme="minorHAnsi"/>
          <w:color w:val="000000" w:themeColor="text1"/>
        </w:rPr>
        <w:t xml:space="preserve"> route would repeat content and it needs to be clear to them how their learning is spiralling to reflect a higher level. </w:t>
      </w:r>
    </w:p>
    <w:p w14:paraId="3D355B56" w14:textId="583624D4" w:rsidR="00C83A20" w:rsidRPr="00F92468" w:rsidRDefault="00F92468" w:rsidP="00F92468">
      <w:pPr>
        <w:spacing w:after="0" w:line="240" w:lineRule="auto"/>
        <w:rPr>
          <w:rFonts w:cstheme="minorHAnsi"/>
          <w:color w:val="000000" w:themeColor="text1"/>
        </w:rPr>
      </w:pPr>
      <w:r w:rsidRPr="00F92468">
        <w:rPr>
          <w:rFonts w:cstheme="minorHAnsi"/>
          <w:b/>
          <w:bCs/>
          <w:color w:val="000000" w:themeColor="text1"/>
          <w:shd w:val="clear" w:color="auto" w:fill="FFFFFF"/>
        </w:rPr>
        <w:t>4.</w:t>
      </w:r>
      <w:r w:rsidR="0085415F" w:rsidRPr="00F92468">
        <w:rPr>
          <w:rFonts w:cstheme="minorHAnsi"/>
          <w:b/>
          <w:bCs/>
          <w:color w:val="000000" w:themeColor="text1"/>
          <w:shd w:val="clear" w:color="auto" w:fill="FFFFFF"/>
        </w:rPr>
        <w:t>Is the pharmaceutical content in line with relevant industry standards?</w:t>
      </w:r>
    </w:p>
    <w:p w14:paraId="478A7104" w14:textId="272749FC" w:rsidR="00C83A20" w:rsidRPr="00F92468" w:rsidRDefault="00F92468" w:rsidP="0085415F">
      <w:pPr>
        <w:rPr>
          <w:rFonts w:cstheme="minorHAnsi"/>
          <w:color w:val="000000" w:themeColor="text1"/>
        </w:rPr>
      </w:pPr>
      <w:r w:rsidRPr="00F92468">
        <w:rPr>
          <w:rFonts w:cstheme="minorHAnsi"/>
          <w:color w:val="000000" w:themeColor="text1"/>
        </w:rPr>
        <w:t>No,</w:t>
      </w:r>
      <w:r w:rsidR="00FB73B2" w:rsidRPr="00F92468">
        <w:rPr>
          <w:rFonts w:cstheme="minorHAnsi"/>
          <w:color w:val="000000" w:themeColor="text1"/>
        </w:rPr>
        <w:t xml:space="preserve"> it</w:t>
      </w:r>
      <w:r w:rsidR="00C83A20" w:rsidRPr="00F92468">
        <w:rPr>
          <w:rFonts w:cstheme="minorHAnsi"/>
          <w:color w:val="000000" w:themeColor="text1"/>
        </w:rPr>
        <w:t xml:space="preserve"> needs to align better with the GPhC Initial Education &amp; Training standards 2017. </w:t>
      </w:r>
    </w:p>
    <w:p w14:paraId="02C78FE3" w14:textId="06624976" w:rsidR="0085415F" w:rsidRPr="00F92468" w:rsidRDefault="00F92468" w:rsidP="00F92468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5.</w:t>
      </w:r>
      <w:r w:rsidR="0085415F" w:rsidRPr="00F92468">
        <w:rPr>
          <w:rFonts w:cstheme="minorHAnsi"/>
          <w:b/>
          <w:bCs/>
          <w:color w:val="000000" w:themeColor="text1"/>
          <w:shd w:val="clear" w:color="auto" w:fill="FFFFFF"/>
        </w:rPr>
        <w:t>Is the scientific content at an appropriate level to support progression into higher education in a relevant area?</w:t>
      </w:r>
    </w:p>
    <w:p w14:paraId="08B12F70" w14:textId="37AA9964" w:rsidR="0085415F" w:rsidRPr="00F92468" w:rsidRDefault="0085415F" w:rsidP="0085415F">
      <w:pPr>
        <w:rPr>
          <w:rFonts w:cstheme="minorHAnsi"/>
          <w:color w:val="000000" w:themeColor="text1"/>
        </w:rPr>
      </w:pPr>
      <w:r w:rsidRPr="00F92468">
        <w:rPr>
          <w:rFonts w:cstheme="minorHAnsi"/>
          <w:color w:val="000000" w:themeColor="text1"/>
        </w:rPr>
        <w:t xml:space="preserve">Don’t know. There is some concern from our members about high standards being maintained and whether there is a risk </w:t>
      </w:r>
      <w:r w:rsidR="00094AF8" w:rsidRPr="00F92468">
        <w:rPr>
          <w:rFonts w:cstheme="minorHAnsi"/>
          <w:color w:val="000000" w:themeColor="text1"/>
        </w:rPr>
        <w:t>that</w:t>
      </w:r>
      <w:r w:rsidRPr="00F92468">
        <w:rPr>
          <w:rFonts w:cstheme="minorHAnsi"/>
          <w:color w:val="000000" w:themeColor="text1"/>
        </w:rPr>
        <w:t xml:space="preserve"> academically weaker students </w:t>
      </w:r>
      <w:r w:rsidR="00094AF8" w:rsidRPr="00F92468">
        <w:rPr>
          <w:rFonts w:cstheme="minorHAnsi"/>
          <w:color w:val="000000" w:themeColor="text1"/>
        </w:rPr>
        <w:t>will not meet the requirements of an</w:t>
      </w:r>
      <w:r w:rsidRPr="00F92468">
        <w:rPr>
          <w:rFonts w:cstheme="minorHAnsi"/>
          <w:color w:val="000000" w:themeColor="text1"/>
        </w:rPr>
        <w:t xml:space="preserve"> </w:t>
      </w:r>
      <w:proofErr w:type="spellStart"/>
      <w:r w:rsidRPr="00F92468">
        <w:rPr>
          <w:rFonts w:cstheme="minorHAnsi"/>
          <w:color w:val="000000" w:themeColor="text1"/>
        </w:rPr>
        <w:t>MPharm</w:t>
      </w:r>
      <w:proofErr w:type="spellEnd"/>
      <w:r w:rsidR="00C83A20" w:rsidRPr="00F92468">
        <w:rPr>
          <w:rFonts w:cstheme="minorHAnsi"/>
          <w:color w:val="000000" w:themeColor="text1"/>
        </w:rPr>
        <w:t xml:space="preserve"> programme</w:t>
      </w:r>
      <w:r w:rsidR="00094AF8" w:rsidRPr="00F92468">
        <w:rPr>
          <w:rFonts w:cstheme="minorHAnsi"/>
          <w:color w:val="000000" w:themeColor="text1"/>
        </w:rPr>
        <w:t xml:space="preserve"> or the regulatory registration assessment</w:t>
      </w:r>
      <w:r w:rsidRPr="00F92468">
        <w:rPr>
          <w:rFonts w:cstheme="minorHAnsi"/>
          <w:color w:val="000000" w:themeColor="text1"/>
        </w:rPr>
        <w:t xml:space="preserve">. We are mindful that Universities will make individual decisions as to whether they will accept T levels as entry towards an </w:t>
      </w:r>
      <w:proofErr w:type="spellStart"/>
      <w:r w:rsidRPr="00F92468">
        <w:rPr>
          <w:rFonts w:cstheme="minorHAnsi"/>
          <w:color w:val="000000" w:themeColor="text1"/>
        </w:rPr>
        <w:t>MPharm</w:t>
      </w:r>
      <w:proofErr w:type="spellEnd"/>
      <w:r w:rsidRPr="00F92468">
        <w:rPr>
          <w:rFonts w:cstheme="minorHAnsi"/>
          <w:color w:val="000000" w:themeColor="text1"/>
        </w:rPr>
        <w:t xml:space="preserve"> degree. The likely level of acceptance should be made clear to students. </w:t>
      </w:r>
    </w:p>
    <w:p w14:paraId="02236469" w14:textId="4FC82317" w:rsidR="0085415F" w:rsidRPr="00F92468" w:rsidRDefault="0085415F" w:rsidP="0085415F">
      <w:pPr>
        <w:rPr>
          <w:rFonts w:cstheme="minorHAnsi"/>
          <w:color w:val="000000" w:themeColor="text1"/>
        </w:rPr>
      </w:pPr>
      <w:r w:rsidRPr="00F92468">
        <w:rPr>
          <w:rFonts w:cstheme="minorHAnsi"/>
          <w:color w:val="000000" w:themeColor="text1"/>
        </w:rPr>
        <w:t xml:space="preserve">We are mindful that completion of a T level only limits the breadth of learning that students taking A </w:t>
      </w:r>
      <w:proofErr w:type="gramStart"/>
      <w:r w:rsidR="00F92468" w:rsidRPr="00F92468">
        <w:rPr>
          <w:rFonts w:cstheme="minorHAnsi"/>
          <w:color w:val="000000" w:themeColor="text1"/>
        </w:rPr>
        <w:t>levels</w:t>
      </w:r>
      <w:proofErr w:type="gramEnd"/>
      <w:r w:rsidRPr="00F92468">
        <w:rPr>
          <w:rFonts w:cstheme="minorHAnsi"/>
          <w:color w:val="000000" w:themeColor="text1"/>
        </w:rPr>
        <w:t xml:space="preserve"> or a similar range of subjects will experience. </w:t>
      </w:r>
    </w:p>
    <w:p w14:paraId="434A1718" w14:textId="5FA3F6ED" w:rsidR="00C83A20" w:rsidRPr="00F92468" w:rsidRDefault="00C83A20" w:rsidP="0085415F">
      <w:pPr>
        <w:rPr>
          <w:rFonts w:cstheme="minorHAnsi"/>
          <w:color w:val="000000" w:themeColor="text1"/>
        </w:rPr>
      </w:pPr>
      <w:r w:rsidRPr="00F92468">
        <w:rPr>
          <w:rFonts w:cstheme="minorHAnsi"/>
          <w:color w:val="000000" w:themeColor="text1"/>
        </w:rPr>
        <w:t xml:space="preserve">We support the principles of widening participation and encouraging entry to the pharmacy professions via different routes, provided regulatory standards are maintained for public protection. We question the </w:t>
      </w:r>
      <w:r w:rsidR="00094AF8" w:rsidRPr="00F92468">
        <w:rPr>
          <w:rFonts w:cstheme="minorHAnsi"/>
          <w:color w:val="000000" w:themeColor="text1"/>
        </w:rPr>
        <w:t xml:space="preserve">demand and subsequent </w:t>
      </w:r>
      <w:r w:rsidRPr="00F92468">
        <w:rPr>
          <w:rFonts w:cstheme="minorHAnsi"/>
          <w:color w:val="000000" w:themeColor="text1"/>
        </w:rPr>
        <w:t xml:space="preserve">viability of the programme given that it will take longer to become a pharmacy technician than the current GCSE/ </w:t>
      </w:r>
      <w:r w:rsidR="00F92468" w:rsidRPr="00F92468">
        <w:rPr>
          <w:rFonts w:cstheme="minorHAnsi"/>
          <w:color w:val="000000" w:themeColor="text1"/>
        </w:rPr>
        <w:t>2-year</w:t>
      </w:r>
      <w:r w:rsidRPr="00F92468">
        <w:rPr>
          <w:rFonts w:cstheme="minorHAnsi"/>
          <w:color w:val="000000" w:themeColor="text1"/>
        </w:rPr>
        <w:t xml:space="preserve"> programme. </w:t>
      </w:r>
      <w:r w:rsidR="00FB73B2" w:rsidRPr="00F92468">
        <w:rPr>
          <w:rFonts w:cstheme="minorHAnsi"/>
          <w:color w:val="000000" w:themeColor="text1"/>
        </w:rPr>
        <w:t xml:space="preserve">We are also mindful of placement capacity and workplace pressures and would seek an assurance that the quality of placements will be guaranteed. </w:t>
      </w:r>
    </w:p>
    <w:p w14:paraId="4133A631" w14:textId="3044D9AF" w:rsidR="00C83A20" w:rsidRPr="00F92468" w:rsidRDefault="0085415F" w:rsidP="00F92468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92468">
        <w:rPr>
          <w:rFonts w:cstheme="minorHAnsi"/>
          <w:b/>
          <w:bCs/>
          <w:color w:val="000000" w:themeColor="text1"/>
          <w:shd w:val="clear" w:color="auto" w:fill="FFFFFF"/>
        </w:rPr>
        <w:t>6. Is the scientific content at an appropriate level to support progression into employment in a relevant area?</w:t>
      </w:r>
    </w:p>
    <w:p w14:paraId="3833E80B" w14:textId="09BD60B5" w:rsidR="0085415F" w:rsidRPr="00F92468" w:rsidRDefault="0085415F" w:rsidP="0085415F">
      <w:pPr>
        <w:rPr>
          <w:rFonts w:eastAsia="Times New Roman" w:cstheme="minorHAnsi"/>
          <w:color w:val="000000" w:themeColor="text1"/>
          <w:lang w:eastAsia="en-GB"/>
        </w:rPr>
      </w:pPr>
      <w:r w:rsidRPr="00F92468">
        <w:rPr>
          <w:rFonts w:eastAsia="Times New Roman" w:cstheme="minorHAnsi"/>
          <w:color w:val="000000" w:themeColor="text1"/>
          <w:lang w:eastAsia="en-GB"/>
        </w:rPr>
        <w:t xml:space="preserve">We would like clarity on whether this route will be recognised as an alternative path to work as a pharmacy assistant, for those that decide not to continue with further or higher education. </w:t>
      </w:r>
    </w:p>
    <w:p w14:paraId="31E0092A" w14:textId="14064B92" w:rsidR="0085415F" w:rsidRPr="00F92468" w:rsidRDefault="00F92468" w:rsidP="00F92468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lastRenderedPageBreak/>
        <w:t>7.I</w:t>
      </w:r>
      <w:r w:rsidR="0085415F" w:rsidRPr="00F92468">
        <w:rPr>
          <w:rFonts w:cstheme="minorHAnsi"/>
          <w:b/>
          <w:bCs/>
          <w:color w:val="000000" w:themeColor="text1"/>
          <w:shd w:val="clear" w:color="auto" w:fill="FFFFFF"/>
        </w:rPr>
        <w:t>s the content at the appropriate level of demand for a level 3 qualification?</w:t>
      </w:r>
    </w:p>
    <w:p w14:paraId="1540A5EC" w14:textId="78803D58" w:rsidR="00C83A20" w:rsidRPr="00F92468" w:rsidRDefault="00C83A20" w:rsidP="00C83A20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F92468">
        <w:rPr>
          <w:rFonts w:cstheme="minorHAnsi"/>
          <w:color w:val="000000" w:themeColor="text1"/>
          <w:shd w:val="clear" w:color="auto" w:fill="FFFFFF"/>
        </w:rPr>
        <w:t>Yes, but see Q1</w:t>
      </w:r>
      <w:r w:rsidR="00094AF8" w:rsidRPr="00F92468">
        <w:rPr>
          <w:rFonts w:cstheme="minorHAnsi"/>
          <w:color w:val="000000" w:themeColor="text1"/>
          <w:shd w:val="clear" w:color="auto" w:fill="FFFFFF"/>
        </w:rPr>
        <w:t xml:space="preserve"> for content to be included</w:t>
      </w:r>
    </w:p>
    <w:p w14:paraId="170C668D" w14:textId="77777777" w:rsidR="00C83A20" w:rsidRPr="00F92468" w:rsidRDefault="00C83A20" w:rsidP="00C83A20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158FFBDA" w14:textId="16170470" w:rsidR="0085415F" w:rsidRPr="00F92468" w:rsidRDefault="00F92468" w:rsidP="00F92468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8. </w:t>
      </w:r>
      <w:r w:rsidR="0085415F" w:rsidRPr="00F92468">
        <w:rPr>
          <w:rFonts w:cstheme="minorHAnsi"/>
          <w:b/>
          <w:bCs/>
          <w:color w:val="000000" w:themeColor="text1"/>
          <w:shd w:val="clear" w:color="auto" w:fill="FFFFFF"/>
        </w:rPr>
        <w:t>Is the content suitable for teaching in a classroom-based setting?</w:t>
      </w:r>
    </w:p>
    <w:p w14:paraId="64022E89" w14:textId="7D005B10" w:rsidR="00C83A20" w:rsidRPr="00F92468" w:rsidRDefault="00F92468" w:rsidP="00C83A20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F92468">
        <w:rPr>
          <w:rFonts w:cstheme="minorHAnsi"/>
          <w:color w:val="000000" w:themeColor="text1"/>
          <w:shd w:val="clear" w:color="auto" w:fill="FFFFFF"/>
        </w:rPr>
        <w:t>Yes,</w:t>
      </w:r>
      <w:r w:rsidR="00C83A20" w:rsidRPr="00F92468">
        <w:rPr>
          <w:rFonts w:cstheme="minorHAnsi"/>
          <w:color w:val="000000" w:themeColor="text1"/>
          <w:shd w:val="clear" w:color="auto" w:fill="FFFFFF"/>
        </w:rPr>
        <w:t xml:space="preserve"> but placements required to support the practical components and professional socialisation.</w:t>
      </w:r>
    </w:p>
    <w:p w14:paraId="445512E6" w14:textId="77777777" w:rsidR="00C83A20" w:rsidRPr="00F92468" w:rsidRDefault="00C83A20" w:rsidP="00C83A20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10D77B38" w14:textId="3AE7E58D" w:rsidR="0085415F" w:rsidRPr="00F92468" w:rsidRDefault="00F92468" w:rsidP="00F92468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9.</w:t>
      </w:r>
      <w:r w:rsidR="0085415F" w:rsidRPr="00F92468">
        <w:rPr>
          <w:rFonts w:cstheme="minorHAnsi"/>
          <w:b/>
          <w:bCs/>
          <w:color w:val="000000" w:themeColor="text1"/>
          <w:shd w:val="clear" w:color="auto" w:fill="FFFFFF"/>
        </w:rPr>
        <w:t>Overall, do you think it is feasible to deliver this content within 600 guided learning hours?</w:t>
      </w:r>
    </w:p>
    <w:p w14:paraId="774F87A6" w14:textId="602A16AF" w:rsidR="0085415F" w:rsidRPr="00F92468" w:rsidRDefault="00C83A20" w:rsidP="00C83A20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F92468">
        <w:rPr>
          <w:rFonts w:cstheme="minorHAnsi"/>
          <w:color w:val="000000" w:themeColor="text1"/>
          <w:shd w:val="clear" w:color="auto" w:fill="FFFFFF"/>
        </w:rPr>
        <w:t>Don’t know</w:t>
      </w:r>
    </w:p>
    <w:p w14:paraId="392AAAF6" w14:textId="77777777" w:rsidR="0085415F" w:rsidRPr="00F92468" w:rsidRDefault="0085415F" w:rsidP="0085415F">
      <w:pPr>
        <w:rPr>
          <w:rFonts w:cstheme="minorHAnsi"/>
          <w:color w:val="000000" w:themeColor="text1"/>
        </w:rPr>
      </w:pPr>
    </w:p>
    <w:sectPr w:rsidR="0085415F" w:rsidRPr="00F92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962B4"/>
    <w:multiLevelType w:val="hybridMultilevel"/>
    <w:tmpl w:val="24005AC2"/>
    <w:lvl w:ilvl="0" w:tplc="0FA47A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6DBC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5F"/>
    <w:rsid w:val="00094AF8"/>
    <w:rsid w:val="0085415F"/>
    <w:rsid w:val="00C83A20"/>
    <w:rsid w:val="00F92468"/>
    <w:rsid w:val="00FB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68E4"/>
  <w15:chartTrackingRefBased/>
  <w15:docId w15:val="{792A1674-15C8-46E9-9F77-F3E7134E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Fleming</dc:creator>
  <cp:keywords/>
  <dc:description/>
  <cp:lastModifiedBy>Heidi Wright</cp:lastModifiedBy>
  <cp:revision>2</cp:revision>
  <dcterms:created xsi:type="dcterms:W3CDTF">2021-10-13T16:09:00Z</dcterms:created>
  <dcterms:modified xsi:type="dcterms:W3CDTF">2021-10-13T16:09:00Z</dcterms:modified>
</cp:coreProperties>
</file>